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3CB4" w14:textId="77777777" w:rsidR="003236F2" w:rsidRPr="003B04C9" w:rsidRDefault="003236F2" w:rsidP="003236F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B04C9">
        <w:rPr>
          <w:rFonts w:ascii="Times New Roman" w:hAnsi="Times New Roman" w:cs="Times New Roman"/>
          <w:b/>
          <w:bCs/>
          <w:sz w:val="24"/>
          <w:szCs w:val="24"/>
        </w:rPr>
        <w:t>«УТВЕРЖДЕН»</w:t>
      </w:r>
    </w:p>
    <w:p w14:paraId="4BA5B735" w14:textId="77777777" w:rsidR="003236F2" w:rsidRPr="003B04C9" w:rsidRDefault="003236F2" w:rsidP="003236F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B04C9">
        <w:rPr>
          <w:rFonts w:ascii="Times New Roman" w:hAnsi="Times New Roman" w:cs="Times New Roman"/>
          <w:b/>
          <w:bCs/>
          <w:sz w:val="24"/>
          <w:szCs w:val="24"/>
        </w:rPr>
        <w:t xml:space="preserve">протоколом Общественного совета </w:t>
      </w:r>
    </w:p>
    <w:p w14:paraId="2F7242B9" w14:textId="77777777" w:rsidR="003236F2" w:rsidRPr="003B04C9" w:rsidRDefault="003236F2" w:rsidP="003236F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B04C9">
        <w:rPr>
          <w:rFonts w:ascii="Times New Roman" w:hAnsi="Times New Roman" w:cs="Times New Roman"/>
          <w:b/>
          <w:bCs/>
          <w:sz w:val="24"/>
          <w:szCs w:val="24"/>
        </w:rPr>
        <w:t xml:space="preserve">при министерстве промышленности, </w:t>
      </w:r>
    </w:p>
    <w:p w14:paraId="4D767E36" w14:textId="77777777" w:rsidR="003236F2" w:rsidRPr="003B04C9" w:rsidRDefault="003236F2" w:rsidP="003236F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B04C9">
        <w:rPr>
          <w:rFonts w:ascii="Times New Roman" w:hAnsi="Times New Roman" w:cs="Times New Roman"/>
          <w:b/>
          <w:bCs/>
          <w:sz w:val="24"/>
          <w:szCs w:val="24"/>
        </w:rPr>
        <w:t xml:space="preserve">торговли и предпринимательства </w:t>
      </w:r>
    </w:p>
    <w:p w14:paraId="55D4B0A3" w14:textId="77777777" w:rsidR="003236F2" w:rsidRPr="001341B3" w:rsidRDefault="003236F2" w:rsidP="003236F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41B3">
        <w:rPr>
          <w:rFonts w:ascii="Times New Roman" w:hAnsi="Times New Roman" w:cs="Times New Roman"/>
          <w:b/>
          <w:bCs/>
          <w:sz w:val="24"/>
          <w:szCs w:val="24"/>
        </w:rPr>
        <w:t>Нижегородской области</w:t>
      </w:r>
    </w:p>
    <w:p w14:paraId="5B8940F1" w14:textId="0A6C5EE4" w:rsidR="003236F2" w:rsidRPr="001341B3" w:rsidRDefault="007B2B10" w:rsidP="003236F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3236F2" w:rsidRPr="001341B3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002C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47F7">
        <w:rPr>
          <w:rFonts w:ascii="Times New Roman" w:hAnsi="Times New Roman" w:cs="Times New Roman"/>
          <w:b/>
          <w:bCs/>
          <w:sz w:val="24"/>
          <w:szCs w:val="24"/>
        </w:rPr>
        <w:t>29.01.</w:t>
      </w:r>
      <w:r w:rsidR="003236F2" w:rsidRPr="009D035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715F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236F2" w:rsidRPr="001341B3">
        <w:rPr>
          <w:rFonts w:ascii="Times New Roman" w:hAnsi="Times New Roman" w:cs="Times New Roman"/>
          <w:b/>
          <w:bCs/>
          <w:sz w:val="24"/>
          <w:szCs w:val="24"/>
        </w:rPr>
        <w:t xml:space="preserve"> № 1</w:t>
      </w:r>
    </w:p>
    <w:p w14:paraId="6F426CCA" w14:textId="355DC332" w:rsidR="00E54383" w:rsidRPr="001341B3" w:rsidRDefault="00E54383" w:rsidP="006E72C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A347E" w14:textId="77777777" w:rsidR="003C1F10" w:rsidRPr="001341B3" w:rsidRDefault="003C1F10" w:rsidP="00DC24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862BAF" w14:textId="77777777" w:rsidR="0035701A" w:rsidRDefault="0035701A" w:rsidP="00DC24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78434A" w14:textId="40E25FE8" w:rsidR="00B9681C" w:rsidRPr="001341B3" w:rsidRDefault="00DC242B" w:rsidP="00DC24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41B3">
        <w:rPr>
          <w:rFonts w:ascii="Times New Roman" w:hAnsi="Times New Roman" w:cs="Times New Roman"/>
          <w:b/>
          <w:bCs/>
          <w:sz w:val="28"/>
          <w:szCs w:val="28"/>
        </w:rPr>
        <w:t>Доклад</w:t>
      </w:r>
    </w:p>
    <w:p w14:paraId="0C1DDDA3" w14:textId="1B39A197" w:rsidR="00DC242B" w:rsidRPr="001341B3" w:rsidRDefault="003C1F10" w:rsidP="00DC24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25036082"/>
      <w:r w:rsidRPr="001341B3"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="00DC242B" w:rsidRPr="001341B3">
        <w:rPr>
          <w:rFonts w:ascii="Times New Roman" w:hAnsi="Times New Roman" w:cs="Times New Roman"/>
          <w:b/>
          <w:bCs/>
          <w:sz w:val="28"/>
          <w:szCs w:val="28"/>
        </w:rPr>
        <w:t xml:space="preserve"> антимонопольно</w:t>
      </w:r>
      <w:r w:rsidRPr="001341B3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DC242B" w:rsidRPr="001341B3">
        <w:rPr>
          <w:rFonts w:ascii="Times New Roman" w:hAnsi="Times New Roman" w:cs="Times New Roman"/>
          <w:b/>
          <w:bCs/>
          <w:sz w:val="28"/>
          <w:szCs w:val="28"/>
        </w:rPr>
        <w:t xml:space="preserve"> комплаенс</w:t>
      </w:r>
      <w:r w:rsidRPr="001341B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DC242B" w:rsidRPr="001341B3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Pr="001341B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</w:t>
      </w:r>
      <w:r w:rsidRPr="00134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инистерстве</w:t>
      </w:r>
      <w:r w:rsidRPr="001341B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Pr="00134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промышленности, торговли и предпринимательства</w:t>
      </w:r>
      <w:r w:rsidRPr="001341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242B" w:rsidRPr="001341B3">
        <w:rPr>
          <w:rFonts w:ascii="Times New Roman" w:hAnsi="Times New Roman" w:cs="Times New Roman"/>
          <w:b/>
          <w:bCs/>
          <w:sz w:val="28"/>
          <w:szCs w:val="28"/>
        </w:rPr>
        <w:t>Нижегородской области</w:t>
      </w:r>
      <w:r w:rsidR="006E1740" w:rsidRPr="001341B3">
        <w:rPr>
          <w:rFonts w:ascii="Times New Roman" w:hAnsi="Times New Roman" w:cs="Times New Roman"/>
          <w:b/>
          <w:bCs/>
          <w:sz w:val="28"/>
          <w:szCs w:val="28"/>
        </w:rPr>
        <w:t xml:space="preserve"> в 20</w:t>
      </w:r>
      <w:r w:rsidR="00A54935" w:rsidRPr="001341B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715F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E1740" w:rsidRPr="001341B3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6F18B4" w:rsidRPr="001341B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bookmarkEnd w:id="0"/>
    <w:p w14:paraId="09F0C959" w14:textId="1FC7D3C8" w:rsidR="00DC242B" w:rsidRPr="001341B3" w:rsidRDefault="00DC242B" w:rsidP="0068704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85DA27" w14:textId="31C5EBBC" w:rsidR="000B07CC" w:rsidRPr="001341B3" w:rsidRDefault="000B07CC" w:rsidP="006870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41B3"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="00EF468A" w:rsidRPr="001341B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1341B3">
        <w:rPr>
          <w:rFonts w:ascii="Times New Roman" w:eastAsia="Calibri" w:hAnsi="Times New Roman" w:cs="Times New Roman"/>
          <w:b/>
          <w:sz w:val="28"/>
          <w:szCs w:val="28"/>
        </w:rPr>
        <w:t>. Общие сведения о функционировании антимонопольного комплаенса в органе исполнительной власти</w:t>
      </w:r>
      <w:r w:rsidR="00E3359E" w:rsidRPr="001341B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0124D939" w14:textId="42F48538" w:rsidR="00D00CF2" w:rsidRPr="001341B3" w:rsidRDefault="00F04319" w:rsidP="00687048">
      <w:pPr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341B3"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Российской Федерации </w:t>
      </w:r>
      <w:r w:rsidR="005878D4" w:rsidRPr="001341B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00CF2" w:rsidRPr="001341B3">
        <w:rPr>
          <w:rFonts w:ascii="Times New Roman" w:hAnsi="Times New Roman" w:cs="Times New Roman"/>
          <w:sz w:val="28"/>
          <w:szCs w:val="28"/>
        </w:rPr>
        <w:t xml:space="preserve"> </w:t>
      </w:r>
      <w:r w:rsidRPr="001341B3">
        <w:rPr>
          <w:rFonts w:ascii="Times New Roman" w:hAnsi="Times New Roman" w:cs="Times New Roman"/>
          <w:sz w:val="28"/>
          <w:szCs w:val="28"/>
        </w:rPr>
        <w:t xml:space="preserve">от 21.12.2017 № 618 «Об основных направлениях государственной политики по развитию конкуренции», </w:t>
      </w:r>
      <w:r w:rsidR="00D00CF2"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целях реализации мероприятий   по внедрению антимонопольного комплаенса </w:t>
      </w:r>
      <w:r w:rsidR="0059027B"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="0059027B" w:rsidRPr="00134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инистерством промышленности, торговли</w:t>
      </w:r>
      <w:r w:rsidR="00D8430D" w:rsidRPr="00134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027B" w:rsidRPr="00134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предпринимательства</w:t>
      </w:r>
      <w:r w:rsidR="0059027B" w:rsidRPr="001341B3"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 - министерство) </w:t>
      </w:r>
      <w:r w:rsidR="00D00CF2"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разработаны и утверждены следующие приказы:</w:t>
      </w:r>
    </w:p>
    <w:p w14:paraId="7DAE186D" w14:textId="029FF28D" w:rsidR="00D00CF2" w:rsidRPr="001341B3" w:rsidRDefault="00D00CF2" w:rsidP="0068704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r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20.02.2019 № 23 </w:t>
      </w: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организации системы </w:t>
      </w:r>
      <w:r w:rsidR="00460AB1"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внутреннего обеспечения соответствия требованиям антимонопольного законодательства в министерстве промышленности, торговли и предпринимательства Нижегородской области (антимонопольном комплаенсе)», которым утверждено Положение об антимонопольном комплаенсе; </w:t>
      </w:r>
    </w:p>
    <w:p w14:paraId="546D70A9" w14:textId="371335CC" w:rsidR="00460AB1" w:rsidRPr="001341B3" w:rsidRDefault="00460AB1" w:rsidP="0068704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приказ </w:t>
      </w: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29.04.2019 № 103 «О внесении изменений в приказ </w:t>
      </w:r>
      <w:r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Pr="00134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инистерства промышленности, торговли и предпринимательства</w:t>
      </w:r>
      <w:r w:rsidRPr="001341B3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20.02.2019 № 23»;</w:t>
      </w:r>
    </w:p>
    <w:p w14:paraId="1AEBFAB2" w14:textId="74AD3FC8" w:rsidR="00D00CF2" w:rsidRPr="001341B3" w:rsidRDefault="00D00CF2" w:rsidP="0068704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 </w:t>
      </w:r>
      <w:r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15.04.2019 № 89 «Об утверждении </w:t>
      </w: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Методики расчета  ключевых показателей эффективности функционирования в министерстве промышленности, торговли и предпринимательства Нижегородской области системы внутреннего обеспечения соответствия требованиям антимонопольного законодательства (антимонопольного комплаенса)»;</w:t>
      </w:r>
    </w:p>
    <w:p w14:paraId="69FD4FA9" w14:textId="65E6B4FC" w:rsidR="00D00CF2" w:rsidRPr="001341B3" w:rsidRDefault="00D00CF2" w:rsidP="006870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 </w:t>
      </w:r>
      <w:r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30.12.2019 № 323 «</w:t>
      </w: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карты (паспорта) комплаенс-рисков и плана мероприятий (дорожная карта) по снижению комплаенс-рисков </w:t>
      </w:r>
      <w:r w:rsidRPr="001341B3">
        <w:rPr>
          <w:rFonts w:ascii="Times New Roman" w:eastAsia="Calibri" w:hAnsi="Times New Roman" w:cs="Times New Roman"/>
          <w:sz w:val="28"/>
          <w:szCs w:val="28"/>
        </w:rPr>
        <w:t>министерства промышленности, торговли и предпринимательства Нижегородской области»</w:t>
      </w:r>
      <w:r w:rsidR="00B51F91" w:rsidRPr="001341B3">
        <w:rPr>
          <w:rFonts w:ascii="Times New Roman" w:eastAsia="Calibri" w:hAnsi="Times New Roman" w:cs="Times New Roman"/>
          <w:sz w:val="28"/>
          <w:szCs w:val="28"/>
        </w:rPr>
        <w:t xml:space="preserve"> на 2020 г</w:t>
      </w:r>
      <w:r w:rsidR="00B3455F" w:rsidRPr="001341B3">
        <w:rPr>
          <w:rFonts w:ascii="Times New Roman" w:eastAsia="Calibri" w:hAnsi="Times New Roman" w:cs="Times New Roman"/>
          <w:sz w:val="28"/>
          <w:szCs w:val="28"/>
        </w:rPr>
        <w:t>.</w:t>
      </w:r>
      <w:r w:rsidR="00FE79CC" w:rsidRPr="001341B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958D993" w14:textId="1C42ED05" w:rsidR="00FE79CC" w:rsidRPr="001341B3" w:rsidRDefault="00FE79CC" w:rsidP="006870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1B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r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2</w:t>
      </w:r>
      <w:r w:rsidR="00794AC7"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.0</w:t>
      </w:r>
      <w:r w:rsidR="00794AC7"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.2021 № </w:t>
      </w:r>
      <w:r w:rsidR="00794AC7"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 «</w:t>
      </w: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карты (паспорта) комплаенс-рисков и плана мероприятий (дорожная карта) по снижению комплаенс-рисков </w:t>
      </w:r>
      <w:r w:rsidRPr="001341B3">
        <w:rPr>
          <w:rFonts w:ascii="Times New Roman" w:eastAsia="Calibri" w:hAnsi="Times New Roman" w:cs="Times New Roman"/>
          <w:sz w:val="28"/>
          <w:szCs w:val="28"/>
        </w:rPr>
        <w:t>министерства промышленности, торговли и предпринимательства Нижегородской области» на 2021 г.</w:t>
      </w:r>
      <w:r w:rsidR="004B0582" w:rsidRPr="001341B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11A9FF8" w14:textId="5AF25E13" w:rsidR="004B0582" w:rsidRPr="001341B3" w:rsidRDefault="004B0582" w:rsidP="006870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1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bookmarkStart w:id="1" w:name="_Hlk125538236"/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r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</w:t>
      </w:r>
      <w:r w:rsidR="00FA4508"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</w:t>
      </w:r>
      <w:r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.01.202</w:t>
      </w:r>
      <w:r w:rsidR="00FA4508"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№ </w:t>
      </w:r>
      <w:r w:rsidR="00FA4508"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карты (паспорта) комплаенс-рисков и плана мероприятий (дорожная карта) по снижению комплаенс-рисков </w:t>
      </w:r>
      <w:r w:rsidRPr="001341B3">
        <w:rPr>
          <w:rFonts w:ascii="Times New Roman" w:eastAsia="Calibri" w:hAnsi="Times New Roman" w:cs="Times New Roman"/>
          <w:sz w:val="28"/>
          <w:szCs w:val="28"/>
        </w:rPr>
        <w:t>министерства промышленности, торговли и предпринимательства Нижегородской области» на 202</w:t>
      </w:r>
      <w:r w:rsidR="00FA4508" w:rsidRPr="001341B3">
        <w:rPr>
          <w:rFonts w:ascii="Times New Roman" w:eastAsia="Calibri" w:hAnsi="Times New Roman" w:cs="Times New Roman"/>
          <w:sz w:val="28"/>
          <w:szCs w:val="28"/>
        </w:rPr>
        <w:t>2</w:t>
      </w:r>
      <w:r w:rsidRPr="001341B3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11523C" w:rsidRPr="001341B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F0FE854" w14:textId="0F3273EA" w:rsidR="0011523C" w:rsidRDefault="0011523C" w:rsidP="006870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1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r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16.01.2023 № 7 «</w:t>
      </w: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карты (паспорта) комплаенс-рисков и плана мероприятий (дорожная карта) по снижению комплаенс-рисков </w:t>
      </w:r>
      <w:r w:rsidRPr="001341B3">
        <w:rPr>
          <w:rFonts w:ascii="Times New Roman" w:eastAsia="Calibri" w:hAnsi="Times New Roman" w:cs="Times New Roman"/>
          <w:sz w:val="28"/>
          <w:szCs w:val="28"/>
        </w:rPr>
        <w:t>министерства промышленности, торговли и предпринимательства Нижегородской области» на 2023 г.</w:t>
      </w:r>
      <w:r w:rsidR="005D370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D3D23E9" w14:textId="11845D03" w:rsidR="005D370E" w:rsidRDefault="005D370E" w:rsidP="006870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bookmarkStart w:id="2" w:name="_Hlk189042829"/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r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09</w:t>
      </w:r>
      <w:r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.01.202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карты (паспорта) комплаенс-рисков и плана мероприятий (дорожная карта) по снижению комплаенс-рисков </w:t>
      </w:r>
      <w:r w:rsidRPr="001341B3">
        <w:rPr>
          <w:rFonts w:ascii="Times New Roman" w:eastAsia="Calibri" w:hAnsi="Times New Roman" w:cs="Times New Roman"/>
          <w:sz w:val="28"/>
          <w:szCs w:val="28"/>
        </w:rPr>
        <w:t>министерства промышленности, торговли и предпринимательства Нижегородской области» на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341B3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CF436B">
        <w:rPr>
          <w:rFonts w:ascii="Times New Roman" w:eastAsia="Calibri" w:hAnsi="Times New Roman" w:cs="Times New Roman"/>
          <w:sz w:val="28"/>
          <w:szCs w:val="28"/>
        </w:rPr>
        <w:t>;</w:t>
      </w:r>
      <w:bookmarkEnd w:id="2"/>
    </w:p>
    <w:p w14:paraId="3FD59754" w14:textId="61F88505" w:rsidR="00CF436B" w:rsidRDefault="00CF436B" w:rsidP="006870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r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09</w:t>
      </w:r>
      <w:r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.01.202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карты (паспорта) комплаенс-рисков и плана мероприятий (дорожная карта) по снижению комплаенс-рисков </w:t>
      </w:r>
      <w:r w:rsidRPr="001341B3">
        <w:rPr>
          <w:rFonts w:ascii="Times New Roman" w:eastAsia="Calibri" w:hAnsi="Times New Roman" w:cs="Times New Roman"/>
          <w:sz w:val="28"/>
          <w:szCs w:val="28"/>
        </w:rPr>
        <w:t>министерства промышленности, торговли и предпринимательства Нижегородской области» на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341B3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7E7F7088" w14:textId="546DF733" w:rsidR="00F52FF9" w:rsidRPr="001341B3" w:rsidRDefault="00F52FF9" w:rsidP="006870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01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57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r w:rsidRPr="003570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30.12.2025 № 282 «</w:t>
      </w:r>
      <w:r w:rsidRPr="00357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карты (паспорта) комплаенс-рисков и плана мероприятий (дорожная карта) по снижению комплаенс-рисков </w:t>
      </w:r>
      <w:r w:rsidRPr="0035701A">
        <w:rPr>
          <w:rFonts w:ascii="Times New Roman" w:eastAsia="Calibri" w:hAnsi="Times New Roman" w:cs="Times New Roman"/>
          <w:sz w:val="28"/>
          <w:szCs w:val="28"/>
        </w:rPr>
        <w:t>министерства промышленности, торговли и предпринимательства Нижегородской области» на 2026 г.</w:t>
      </w:r>
    </w:p>
    <w:bookmarkEnd w:id="1"/>
    <w:p w14:paraId="35E5EDCC" w14:textId="57C0B88A" w:rsidR="00D00CF2" w:rsidRPr="007F7D7F" w:rsidRDefault="00CE2C57" w:rsidP="0068704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открытости и доступа к информации </w:t>
      </w:r>
      <w:r w:rsidR="00CB6131"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00CF2"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казанные документы размещены на официальном сайте </w:t>
      </w:r>
      <w:r w:rsidR="007F7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D00CF2"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0CF2"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«Деятельность»,</w:t>
      </w: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0CF2"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</w:t>
      </w:r>
      <w:r w:rsidR="00D00CF2" w:rsidRPr="007F7D7F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ссылки:</w:t>
      </w:r>
      <w:r w:rsidR="007F7D7F" w:rsidRPr="007F7D7F">
        <w:rPr>
          <w:rFonts w:ascii="Times New Roman" w:eastAsia="Calibri" w:hAnsi="Times New Roman" w:cs="Times New Roman"/>
          <w:sz w:val="28"/>
          <w:szCs w:val="28"/>
        </w:rPr>
        <w:t xml:space="preserve"> https://minprom.nobl.ru/activity/49460/</w:t>
      </w:r>
      <w:r w:rsidR="00D00CF2" w:rsidRPr="007F7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CE71B42" w14:textId="4790560C" w:rsidR="00C54A86" w:rsidRPr="001341B3" w:rsidRDefault="00C54A86" w:rsidP="0068704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целями антимонопольного комплаенса в министерстве являются:</w:t>
      </w:r>
    </w:p>
    <w:p w14:paraId="590D8BD7" w14:textId="2E814535" w:rsidR="00C54A86" w:rsidRPr="001341B3" w:rsidRDefault="00C54A86" w:rsidP="0068704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соответствия деятельности министерства требованиям антимонопольного законодательства;</w:t>
      </w:r>
    </w:p>
    <w:p w14:paraId="77BAAFA9" w14:textId="49860126" w:rsidR="00C54A86" w:rsidRPr="001341B3" w:rsidRDefault="00C54A86" w:rsidP="0068704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профилактика нарушения требований антимонопольного законодательства в деятельности министерства.</w:t>
      </w:r>
    </w:p>
    <w:p w14:paraId="4FF1F090" w14:textId="42BC8774" w:rsidR="00C54A86" w:rsidRPr="001341B3" w:rsidRDefault="00C54A86" w:rsidP="0068704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антимонопольного комплаенса:</w:t>
      </w:r>
    </w:p>
    <w:p w14:paraId="0FA69C0F" w14:textId="532FC20D" w:rsidR="00C54A86" w:rsidRPr="001341B3" w:rsidRDefault="00C54A86" w:rsidP="0068704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рисков нарушения антимонопольного законодательства;</w:t>
      </w:r>
    </w:p>
    <w:p w14:paraId="05BD9377" w14:textId="6C008E6E" w:rsidR="00C54A86" w:rsidRPr="001341B3" w:rsidRDefault="00C54A86" w:rsidP="0068704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управление рисками нарушения антимонопольного законодательства;</w:t>
      </w:r>
    </w:p>
    <w:p w14:paraId="54CEEF8E" w14:textId="61633B22" w:rsidR="00C54A86" w:rsidRPr="001341B3" w:rsidRDefault="00C54A86" w:rsidP="0068704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контроль за соответствием деятельности министерства требованиям антимонопольного законодательства;</w:t>
      </w:r>
    </w:p>
    <w:p w14:paraId="21C904B0" w14:textId="6A484CC3" w:rsidR="00C54A86" w:rsidRPr="001341B3" w:rsidRDefault="00C54A86" w:rsidP="00687048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эффективности функционирования в министерстве антимонопольного комплаенса.</w:t>
      </w:r>
    </w:p>
    <w:p w14:paraId="37C58F35" w14:textId="39CDCD90" w:rsidR="00C54A86" w:rsidRPr="001341B3" w:rsidRDefault="00C54A86" w:rsidP="0068704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антимонопольного комплаенса министерство руководствуется следующими принципами:</w:t>
      </w:r>
    </w:p>
    <w:p w14:paraId="3113B1BB" w14:textId="74843EDB" w:rsidR="00C54A86" w:rsidRPr="001341B3" w:rsidRDefault="00303E1D" w:rsidP="0068704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4A86"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заинтересованность в эффективности функционирования антимонопольного комплаенса;</w:t>
      </w:r>
    </w:p>
    <w:p w14:paraId="5B9625BA" w14:textId="4A57FFCD" w:rsidR="00C54A86" w:rsidRPr="001341B3" w:rsidRDefault="00303E1D" w:rsidP="0068704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4A86"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регулярность оценки рисков нарушения антимонопольного законодательства;</w:t>
      </w:r>
    </w:p>
    <w:p w14:paraId="2A3245C3" w14:textId="3289CEC9" w:rsidR="00C54A86" w:rsidRPr="001341B3" w:rsidRDefault="00303E1D" w:rsidP="0068704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4A86"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информационной открытости функционирования антимонопольного комплаенса;</w:t>
      </w:r>
    </w:p>
    <w:p w14:paraId="65AB009C" w14:textId="48DF2D17" w:rsidR="00C54A86" w:rsidRPr="001341B3" w:rsidRDefault="00303E1D" w:rsidP="0068704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4A86"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непрерывность функционирования антимонопольного комплаенса;</w:t>
      </w:r>
    </w:p>
    <w:p w14:paraId="6C435868" w14:textId="2C3FFEEA" w:rsidR="00C54A86" w:rsidRPr="001341B3" w:rsidRDefault="00303E1D" w:rsidP="0068704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4A86"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антимонопольного комплаенса.</w:t>
      </w:r>
    </w:p>
    <w:p w14:paraId="3D207C93" w14:textId="6FDDD352" w:rsidR="002A6764" w:rsidRPr="001341B3" w:rsidRDefault="002A6764" w:rsidP="0068704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B3">
        <w:rPr>
          <w:rFonts w:ascii="Times New Roman" w:eastAsia="Calibri" w:hAnsi="Times New Roman" w:cs="Times New Roman"/>
          <w:sz w:val="28"/>
          <w:szCs w:val="28"/>
        </w:rPr>
        <w:t xml:space="preserve">Функциями уполномоченного подразделения, связанными с организацией и функционированием антимонопольного комплаенса, наделен </w:t>
      </w: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правовой работы и судебной защиты управления развития торговли, финансового и правового обеспечения.</w:t>
      </w:r>
    </w:p>
    <w:p w14:paraId="301D0B25" w14:textId="7C954B8E" w:rsidR="00B23DB0" w:rsidRPr="001341B3" w:rsidRDefault="00B23DB0" w:rsidP="0068704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Структурные подразделения министерства в части своей компетенции осуществляют следующие функции по выявлению рисков нарушения антимонопольного законодательства и обстоятельств, связанных с рисками нарушения антимонопольного законодательства, определению вероятности возникновения рисков нарушения антимонопольного законодательства; содействию антимонопольному органу в части, касающейся вопросов, связанных с проводимыми в отношении министерства проверками; информированию уполномоченного подразделения о внутренних документах, которые могут повлечь нарушение антимонопольного законодательства.</w:t>
      </w:r>
    </w:p>
    <w:p w14:paraId="1D76EBCF" w14:textId="10F14D50" w:rsidR="00EF468A" w:rsidRPr="001341B3" w:rsidRDefault="00EF468A" w:rsidP="00687048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B3"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Pr="001341B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1341B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1341B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Оценка рисков нарушения антимонопольного законодательства</w:t>
      </w:r>
      <w:r w:rsidR="00E3359E" w:rsidRPr="001341B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</w:p>
    <w:p w14:paraId="5ABAAB71" w14:textId="42F4CEA7" w:rsidR="004963D8" w:rsidRDefault="004963D8" w:rsidP="00687048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Положением об антимонопольном комплаенсе, </w:t>
      </w:r>
      <w:r w:rsidR="002227D3" w:rsidRPr="00134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75DC7" w:rsidRPr="00134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2227D3" w:rsidRPr="00134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4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в целях выявления и оценки рисков нарушения антимонопольного законодательства</w:t>
      </w:r>
      <w:r w:rsidR="008F7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34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сотрудниками в течение 20</w:t>
      </w:r>
      <w:r w:rsidR="00B51F91" w:rsidRPr="00134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52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34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F54776" w:rsidRPr="00134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34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реализованы следующие мероприятия:</w:t>
      </w:r>
    </w:p>
    <w:p w14:paraId="1281C3CD" w14:textId="77777777" w:rsidR="0035701A" w:rsidRPr="001341B3" w:rsidRDefault="0035701A" w:rsidP="00687048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74DD7F" w14:textId="2D6DC6F3" w:rsidR="00A75DC7" w:rsidRPr="001341B3" w:rsidRDefault="004963D8" w:rsidP="00687048">
      <w:pPr>
        <w:numPr>
          <w:ilvl w:val="0"/>
          <w:numId w:val="1"/>
        </w:numPr>
        <w:spacing w:before="100" w:beforeAutospacing="1"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4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Анализ выявленных нарушений антимонопольного законодательства в деятельности министерства за предыдущие 3 года.</w:t>
      </w:r>
    </w:p>
    <w:p w14:paraId="312EA621" w14:textId="77777777" w:rsidR="00B84174" w:rsidRDefault="004963D8" w:rsidP="0068704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174D" w:rsidRPr="00134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14:paraId="3842FB8E" w14:textId="54C1FDB3" w:rsidR="002227D3" w:rsidRPr="001341B3" w:rsidRDefault="004963D8" w:rsidP="00B8417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данного мероприятия сотрудниками министерства была проведена работа по выявлению предостережений, предупреждений, штрафов, жалоб, возбужденных антимонопольным органом дел в целях анализа несоответствий действий министерства требованиям антимонопольного законодательства, а также принятия мер по недопущению подобных несоответствий в правоприменительной практике министерства. </w:t>
      </w:r>
    </w:p>
    <w:p w14:paraId="464FEEB5" w14:textId="3A2314F4" w:rsidR="004963D8" w:rsidRPr="001341B3" w:rsidRDefault="004963D8" w:rsidP="00687048">
      <w:pPr>
        <w:spacing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проведенной работы установлен</w:t>
      </w:r>
      <w:r w:rsidR="000B07CC" w:rsidRPr="00F1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1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предостережений, предупреждений, штрафов в отношении министерства </w:t>
      </w:r>
      <w:r w:rsidR="003E4FAB" w:rsidRPr="00F1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1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выносились, жалобы в отношении него не поступали, дела в отношении него антимонопольным органом не возбуждались.</w:t>
      </w:r>
    </w:p>
    <w:p w14:paraId="4873B043" w14:textId="77777777" w:rsidR="00A75DC7" w:rsidRPr="001341B3" w:rsidRDefault="0011174D" w:rsidP="00B84174">
      <w:pPr>
        <w:numPr>
          <w:ilvl w:val="0"/>
          <w:numId w:val="1"/>
        </w:numPr>
        <w:spacing w:before="100" w:beforeAutospacing="1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4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Анализ нормативных правовых актов министерства. </w:t>
      </w:r>
    </w:p>
    <w:p w14:paraId="7F977FAD" w14:textId="13A471B5" w:rsidR="00C72702" w:rsidRPr="001341B3" w:rsidRDefault="0011174D" w:rsidP="006870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72702" w:rsidRPr="001341B3">
        <w:rPr>
          <w:rFonts w:ascii="Times New Roman" w:hAnsi="Times New Roman" w:cs="Times New Roman"/>
          <w:sz w:val="28"/>
          <w:szCs w:val="28"/>
        </w:rPr>
        <w:t>Проекты нормативных правовых актов в сфере закупок товаров, работ, услуг для обеспечения государственных нужд, а  также по вопросам    содействия развитию конкуренции за отчетный период в министерстве  </w:t>
      </w:r>
      <w:r w:rsidR="00C72702" w:rsidRPr="001341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  разрабатывались</w:t>
      </w:r>
      <w:r w:rsidR="00C72702" w:rsidRPr="001341B3">
        <w:rPr>
          <w:rFonts w:ascii="Times New Roman" w:hAnsi="Times New Roman" w:cs="Times New Roman"/>
          <w:sz w:val="28"/>
          <w:szCs w:val="28"/>
        </w:rPr>
        <w:t>  и   на  официальном  сайте Правительства Нижегородской области в </w:t>
      </w:r>
      <w:r w:rsidR="006151B9" w:rsidRPr="001341B3">
        <w:rPr>
          <w:rFonts w:ascii="Times New Roman" w:hAnsi="Times New Roman" w:cs="Times New Roman"/>
          <w:sz w:val="28"/>
          <w:szCs w:val="28"/>
        </w:rPr>
        <w:t xml:space="preserve"> </w:t>
      </w:r>
      <w:r w:rsidR="00C72702" w:rsidRPr="001341B3">
        <w:rPr>
          <w:rFonts w:ascii="Times New Roman" w:hAnsi="Times New Roman" w:cs="Times New Roman"/>
          <w:sz w:val="28"/>
          <w:szCs w:val="28"/>
        </w:rPr>
        <w:t>разделах «Независимая антикоррупционная экспертиза проектов нормативных правовых актов Нижегородской области и</w:t>
      </w:r>
      <w:r w:rsidR="00134947" w:rsidRPr="001341B3">
        <w:rPr>
          <w:rFonts w:ascii="Times New Roman" w:hAnsi="Times New Roman" w:cs="Times New Roman"/>
          <w:sz w:val="28"/>
          <w:szCs w:val="28"/>
        </w:rPr>
        <w:t xml:space="preserve"> </w:t>
      </w:r>
      <w:r w:rsidR="00C72702" w:rsidRPr="001341B3">
        <w:rPr>
          <w:rFonts w:ascii="Times New Roman" w:hAnsi="Times New Roman" w:cs="Times New Roman"/>
          <w:sz w:val="28"/>
          <w:szCs w:val="28"/>
        </w:rPr>
        <w:t> их</w:t>
      </w:r>
      <w:r w:rsidR="00134947" w:rsidRPr="001341B3">
        <w:rPr>
          <w:rFonts w:ascii="Times New Roman" w:hAnsi="Times New Roman" w:cs="Times New Roman"/>
          <w:sz w:val="28"/>
          <w:szCs w:val="28"/>
        </w:rPr>
        <w:t xml:space="preserve"> </w:t>
      </w:r>
      <w:r w:rsidR="00C72702" w:rsidRPr="001341B3">
        <w:rPr>
          <w:rFonts w:ascii="Times New Roman" w:hAnsi="Times New Roman" w:cs="Times New Roman"/>
          <w:sz w:val="28"/>
          <w:szCs w:val="28"/>
        </w:rPr>
        <w:t> общественное обсуждение» и</w:t>
      </w:r>
      <w:r w:rsidR="00CA05AC" w:rsidRPr="001341B3">
        <w:rPr>
          <w:rFonts w:ascii="Times New Roman" w:hAnsi="Times New Roman" w:cs="Times New Roman"/>
          <w:sz w:val="28"/>
          <w:szCs w:val="28"/>
        </w:rPr>
        <w:t xml:space="preserve"> </w:t>
      </w:r>
      <w:r w:rsidR="00C72702" w:rsidRPr="001341B3">
        <w:rPr>
          <w:rFonts w:ascii="Times New Roman" w:hAnsi="Times New Roman" w:cs="Times New Roman"/>
          <w:sz w:val="28"/>
          <w:szCs w:val="28"/>
        </w:rPr>
        <w:t> «Оценка регулирующего воздействия» </w:t>
      </w:r>
      <w:r w:rsidR="00C72702" w:rsidRPr="001341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 размещались</w:t>
      </w:r>
      <w:r w:rsidR="00C72702" w:rsidRPr="001341B3">
        <w:rPr>
          <w:rFonts w:ascii="Times New Roman" w:hAnsi="Times New Roman" w:cs="Times New Roman"/>
          <w:sz w:val="28"/>
          <w:szCs w:val="28"/>
        </w:rPr>
        <w:t>.</w:t>
      </w:r>
    </w:p>
    <w:p w14:paraId="059129CD" w14:textId="77777777" w:rsidR="007E1938" w:rsidRPr="001341B3" w:rsidRDefault="007E1938" w:rsidP="0068704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CA912E" w14:textId="77777777" w:rsidR="00794BB1" w:rsidRPr="001341B3" w:rsidRDefault="0092539D" w:rsidP="00B84174">
      <w:pPr>
        <w:pStyle w:val="ab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1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проектов нормативных правовых актов министерства.</w:t>
      </w:r>
      <w:r w:rsidRPr="001341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5DC7" w:rsidRPr="001341B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14:paraId="315AA9F2" w14:textId="77777777" w:rsidR="00B84174" w:rsidRDefault="00B84174" w:rsidP="00B84174">
      <w:pPr>
        <w:pStyle w:val="ab"/>
        <w:spacing w:before="240" w:after="0" w:line="276" w:lineRule="auto"/>
        <w:ind w:left="0" w:firstLine="568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1E54A54C" w14:textId="76A1ED06" w:rsidR="00FB439C" w:rsidRPr="001341B3" w:rsidRDefault="00FB439C" w:rsidP="00B84174">
      <w:pPr>
        <w:pStyle w:val="ab"/>
        <w:spacing w:before="240" w:after="0" w:line="276" w:lineRule="auto"/>
        <w:ind w:left="0" w:firstLine="568"/>
        <w:jc w:val="both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 w:rsidRPr="001341B3">
        <w:rPr>
          <w:rFonts w:ascii="Times New Roman" w:hAnsi="Times New Roman" w:cs="Times New Roman"/>
          <w:color w:val="333333"/>
          <w:sz w:val="28"/>
          <w:szCs w:val="28"/>
        </w:rPr>
        <w:t>Нормативные правовые акты в сфере закупок товаров, работ, услуг для обеспечения государственных нужд, а </w:t>
      </w:r>
      <w:r w:rsidR="002B61C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341B3">
        <w:rPr>
          <w:rFonts w:ascii="Times New Roman" w:hAnsi="Times New Roman" w:cs="Times New Roman"/>
          <w:color w:val="333333"/>
          <w:sz w:val="28"/>
          <w:szCs w:val="28"/>
        </w:rPr>
        <w:t>также по  вопросам содействия развитию конкуренции, принятые министерством за  отчетный период, </w:t>
      </w:r>
      <w:r w:rsidRPr="001341B3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отсутствуют.</w:t>
      </w:r>
    </w:p>
    <w:p w14:paraId="73B65AAF" w14:textId="77777777" w:rsidR="00FB439C" w:rsidRPr="001341B3" w:rsidRDefault="00FB439C" w:rsidP="00687048">
      <w:pPr>
        <w:pStyle w:val="ab"/>
        <w:spacing w:after="0" w:line="276" w:lineRule="auto"/>
        <w:ind w:left="0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61C6ED5" w14:textId="61066187" w:rsidR="00A75DC7" w:rsidRPr="001341B3" w:rsidRDefault="00794BB1" w:rsidP="00B84174">
      <w:pPr>
        <w:pStyle w:val="a6"/>
        <w:numPr>
          <w:ilvl w:val="0"/>
          <w:numId w:val="1"/>
        </w:numPr>
        <w:spacing w:before="0" w:beforeAutospacing="0" w:after="240" w:afterAutospacing="0" w:line="276" w:lineRule="auto"/>
        <w:ind w:left="0" w:firstLine="851"/>
        <w:jc w:val="both"/>
        <w:rPr>
          <w:b/>
          <w:bCs/>
          <w:sz w:val="28"/>
          <w:szCs w:val="28"/>
        </w:rPr>
      </w:pPr>
      <w:r w:rsidRPr="001341B3">
        <w:rPr>
          <w:b/>
          <w:bCs/>
          <w:sz w:val="28"/>
          <w:szCs w:val="28"/>
        </w:rPr>
        <w:t>Мониторинг и анализ практики применения министерством антимонопольного законодательства.</w:t>
      </w:r>
    </w:p>
    <w:p w14:paraId="67BC0779" w14:textId="155AA2D4" w:rsidR="008749E0" w:rsidRPr="001341B3" w:rsidRDefault="00CA20A5" w:rsidP="0068704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подразделением п</w:t>
      </w:r>
      <w:r w:rsidR="00594E21"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 мониторинг и анализ практики применения антимонопольного законодательства в министерстве</w:t>
      </w:r>
      <w:r w:rsidR="000460E7"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</w:t>
      </w:r>
      <w:r w:rsidR="00B51F91"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2F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460E7"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14:paraId="3A89C737" w14:textId="6BBB4895" w:rsidR="00F438C6" w:rsidRPr="00F175AF" w:rsidRDefault="00F438C6" w:rsidP="006870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мониторинга, проведенного в </w:t>
      </w:r>
      <w:r w:rsidR="000460E7" w:rsidRPr="00F175AF">
        <w:rPr>
          <w:rFonts w:ascii="Times New Roman" w:hAnsi="Times New Roman" w:cs="Times New Roman"/>
          <w:sz w:val="28"/>
          <w:szCs w:val="28"/>
        </w:rPr>
        <w:t>отчетном периоде</w:t>
      </w:r>
      <w:r w:rsidRPr="00F175AF">
        <w:rPr>
          <w:rFonts w:ascii="Times New Roman" w:hAnsi="Times New Roman" w:cs="Times New Roman"/>
          <w:sz w:val="28"/>
          <w:szCs w:val="28"/>
        </w:rPr>
        <w:t>, показали, что нарушени</w:t>
      </w:r>
      <w:r w:rsidR="00772FE1" w:rsidRPr="00F175AF">
        <w:rPr>
          <w:rFonts w:ascii="Times New Roman" w:hAnsi="Times New Roman" w:cs="Times New Roman"/>
          <w:sz w:val="28"/>
          <w:szCs w:val="28"/>
        </w:rPr>
        <w:t>й</w:t>
      </w:r>
      <w:r w:rsidRPr="00F175AF">
        <w:rPr>
          <w:rFonts w:ascii="Times New Roman" w:hAnsi="Times New Roman" w:cs="Times New Roman"/>
          <w:sz w:val="28"/>
          <w:szCs w:val="28"/>
        </w:rPr>
        <w:t xml:space="preserve"> </w:t>
      </w:r>
      <w:r w:rsidR="00772FE1" w:rsidRPr="00F175AF">
        <w:rPr>
          <w:rFonts w:ascii="Times New Roman" w:hAnsi="Times New Roman" w:cs="Times New Roman"/>
          <w:sz w:val="28"/>
          <w:szCs w:val="28"/>
        </w:rPr>
        <w:t xml:space="preserve">со стороны </w:t>
      </w:r>
      <w:r w:rsidRPr="00F175AF">
        <w:rPr>
          <w:rFonts w:ascii="Times New Roman" w:hAnsi="Times New Roman" w:cs="Times New Roman"/>
          <w:sz w:val="28"/>
          <w:szCs w:val="28"/>
        </w:rPr>
        <w:t>министерств</w:t>
      </w:r>
      <w:r w:rsidR="00772FE1" w:rsidRPr="00F175AF">
        <w:rPr>
          <w:rFonts w:ascii="Times New Roman" w:hAnsi="Times New Roman" w:cs="Times New Roman"/>
          <w:sz w:val="28"/>
          <w:szCs w:val="28"/>
        </w:rPr>
        <w:t>а</w:t>
      </w:r>
      <w:r w:rsidRPr="00F175AF">
        <w:rPr>
          <w:rFonts w:ascii="Times New Roman" w:hAnsi="Times New Roman" w:cs="Times New Roman"/>
          <w:sz w:val="28"/>
          <w:szCs w:val="28"/>
        </w:rPr>
        <w:t xml:space="preserve"> норм антимонопольного законодательства </w:t>
      </w:r>
      <w:r w:rsidR="00772FE1" w:rsidRPr="00F175AF">
        <w:rPr>
          <w:rFonts w:ascii="Times New Roman" w:hAnsi="Times New Roman" w:cs="Times New Roman"/>
          <w:sz w:val="28"/>
          <w:szCs w:val="28"/>
        </w:rPr>
        <w:t>не имеется</w:t>
      </w:r>
      <w:r w:rsidRPr="00F175AF">
        <w:rPr>
          <w:rFonts w:ascii="Times New Roman" w:hAnsi="Times New Roman" w:cs="Times New Roman"/>
          <w:sz w:val="28"/>
          <w:szCs w:val="28"/>
        </w:rPr>
        <w:t>.</w:t>
      </w:r>
    </w:p>
    <w:p w14:paraId="1878D08C" w14:textId="766F79CB" w:rsidR="000175B8" w:rsidRPr="001341B3" w:rsidRDefault="000175B8" w:rsidP="006870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5AF">
        <w:rPr>
          <w:rFonts w:ascii="Times New Roman" w:hAnsi="Times New Roman" w:cs="Times New Roman"/>
          <w:sz w:val="28"/>
          <w:szCs w:val="28"/>
        </w:rPr>
        <w:t>Итоги анализа практики применения антимонопольного законодательства показали, что министерством не совершались действия (бездействия), которые приводят или могут привести к недопущению, ограничению, устранению конкуренции; ограничивающие конкуренцию акты не утверждались.</w:t>
      </w:r>
    </w:p>
    <w:p w14:paraId="16BD9ACD" w14:textId="40662F04" w:rsidR="0071424F" w:rsidRPr="001341B3" w:rsidRDefault="00E3359E" w:rsidP="0068704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341B3">
        <w:rPr>
          <w:rFonts w:ascii="Times New Roman" w:hAnsi="Times New Roman" w:cs="Times New Roman"/>
          <w:sz w:val="28"/>
          <w:szCs w:val="28"/>
        </w:rPr>
        <w:t xml:space="preserve">По результатам проведенных мероприятий </w:t>
      </w:r>
      <w:r w:rsidR="0071424F" w:rsidRPr="001341B3">
        <w:rPr>
          <w:rFonts w:ascii="Times New Roman" w:hAnsi="Times New Roman" w:cs="Times New Roman"/>
          <w:sz w:val="28"/>
          <w:szCs w:val="28"/>
        </w:rPr>
        <w:t xml:space="preserve">по </w:t>
      </w:r>
      <w:r w:rsidR="0071424F"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выявлению и оценке рисков нарушения антимонопольного законодательства</w:t>
      </w:r>
      <w:r w:rsidR="0071424F" w:rsidRPr="001341B3">
        <w:rPr>
          <w:rFonts w:ascii="Times New Roman" w:hAnsi="Times New Roman" w:cs="Times New Roman"/>
          <w:sz w:val="28"/>
          <w:szCs w:val="28"/>
        </w:rPr>
        <w:t xml:space="preserve"> в министерстве</w:t>
      </w:r>
      <w:r w:rsidR="0071424F"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1424F"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A4508"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24F"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202</w:t>
      </w:r>
      <w:r w:rsidR="00F52F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1424F"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71424F" w:rsidRPr="001341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составлена к</w:t>
      </w:r>
      <w:r w:rsidR="0071424F"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арта (паспорт) комплаенс-рисков </w:t>
      </w:r>
      <w:r w:rsidR="0071424F" w:rsidRPr="001341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антимонопольного законодательства и </w:t>
      </w:r>
      <w:r w:rsidR="0071424F" w:rsidRPr="001341B3">
        <w:rPr>
          <w:rFonts w:ascii="Times New Roman" w:eastAsia="Calibri" w:hAnsi="Times New Roman" w:cs="Times New Roman"/>
          <w:sz w:val="28"/>
          <w:szCs w:val="28"/>
        </w:rPr>
        <w:t xml:space="preserve">план мероприятий (дорожная карта) по снижению комплаенс-рисков министерства </w:t>
      </w:r>
      <w:r w:rsidR="0071424F" w:rsidRPr="001341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202</w:t>
      </w:r>
      <w:r w:rsidR="00F52F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="0071424F" w:rsidRPr="001341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г., которые утверждены приказом министерства от </w:t>
      </w:r>
      <w:r w:rsidR="00F52F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="00E87B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</w:t>
      </w:r>
      <w:r w:rsidR="0071424F" w:rsidRPr="001341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.1</w:t>
      </w:r>
      <w:r w:rsidR="00F52F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71424F" w:rsidRPr="001341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.202</w:t>
      </w:r>
      <w:r w:rsidR="008F79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="0071424F" w:rsidRPr="001341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№ </w:t>
      </w:r>
      <w:r w:rsidR="00F52F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282</w:t>
      </w:r>
      <w:r w:rsidR="0071424F" w:rsidRPr="001341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14:paraId="208C9B19" w14:textId="4E03564E" w:rsidR="00F30CBC" w:rsidRPr="001341B3" w:rsidRDefault="007905E2" w:rsidP="00687048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bookmarkStart w:id="3" w:name="bookmark4"/>
      <w:r w:rsidRPr="001341B3"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Pr="001341B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1341B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1341B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F30CBC" w:rsidRPr="001341B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Сведения об исполнении мероприятий по снижению рисков нарушения органом исполнительной власти антимонопольного законодательства.</w:t>
      </w:r>
      <w:bookmarkEnd w:id="3"/>
    </w:p>
    <w:p w14:paraId="440327BB" w14:textId="72555B81" w:rsidR="00A65075" w:rsidRPr="001341B3" w:rsidRDefault="00A65075" w:rsidP="006870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="000B07CC"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</w:t>
      </w:r>
      <w:r w:rsidR="008F7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09</w:t>
      </w:r>
      <w:r w:rsidR="00E87BAA"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.01.202</w:t>
      </w:r>
      <w:r w:rsidR="002639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="00E87BAA"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№ </w:t>
      </w:r>
      <w:r w:rsidR="002639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E87BAA" w:rsidRPr="00134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 карта (паспорт) комплаенс-рисков</w:t>
      </w:r>
      <w:r w:rsidR="00E31469"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31469"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выявленных рисков нарушения антимонопольного законодательства утвержден </w:t>
      </w: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мероприятий (дорожная карта) по снижению комплаенс-рисков </w:t>
      </w:r>
      <w:r w:rsidRPr="001341B3">
        <w:rPr>
          <w:rFonts w:ascii="Times New Roman" w:eastAsia="Calibri" w:hAnsi="Times New Roman" w:cs="Times New Roman"/>
          <w:sz w:val="28"/>
          <w:szCs w:val="28"/>
        </w:rPr>
        <w:t>министерства промышленности, торговли и предпринимательства Нижегородской области на 202</w:t>
      </w:r>
      <w:r w:rsidR="00263950">
        <w:rPr>
          <w:rFonts w:ascii="Times New Roman" w:eastAsia="Calibri" w:hAnsi="Times New Roman" w:cs="Times New Roman"/>
          <w:sz w:val="28"/>
          <w:szCs w:val="28"/>
        </w:rPr>
        <w:t>5</w:t>
      </w:r>
      <w:r w:rsidRPr="001341B3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2C2AA4BD" w14:textId="0091ABEB" w:rsidR="00E31469" w:rsidRPr="001341B3" w:rsidRDefault="007722A6" w:rsidP="0068704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B3">
        <w:rPr>
          <w:rFonts w:ascii="Times New Roman" w:eastAsia="Calibri" w:hAnsi="Times New Roman" w:cs="Times New Roman"/>
          <w:sz w:val="28"/>
          <w:szCs w:val="28"/>
        </w:rPr>
        <w:t xml:space="preserve">В разрезе комплаенс-рисков министерством </w:t>
      </w: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периоде</w:t>
      </w:r>
      <w:r w:rsidRPr="001341B3">
        <w:rPr>
          <w:rFonts w:ascii="Times New Roman" w:eastAsia="Calibri" w:hAnsi="Times New Roman" w:cs="Times New Roman"/>
          <w:sz w:val="28"/>
          <w:szCs w:val="28"/>
        </w:rPr>
        <w:t xml:space="preserve"> пр</w:t>
      </w:r>
      <w:r w:rsidR="00A1353D" w:rsidRPr="001341B3">
        <w:rPr>
          <w:rFonts w:ascii="Times New Roman" w:eastAsia="Calibri" w:hAnsi="Times New Roman" w:cs="Times New Roman"/>
          <w:sz w:val="28"/>
          <w:szCs w:val="28"/>
        </w:rPr>
        <w:t>оведены</w:t>
      </w:r>
      <w:r w:rsidRPr="001341B3">
        <w:rPr>
          <w:rFonts w:ascii="Times New Roman" w:eastAsia="Calibri" w:hAnsi="Times New Roman" w:cs="Times New Roman"/>
          <w:sz w:val="28"/>
          <w:szCs w:val="28"/>
        </w:rPr>
        <w:t xml:space="preserve"> следующие </w:t>
      </w:r>
      <w:r w:rsidR="00E31469" w:rsidRPr="001341B3">
        <w:rPr>
          <w:rFonts w:ascii="Times New Roman" w:eastAsia="Calibri" w:hAnsi="Times New Roman" w:cs="Times New Roman"/>
          <w:sz w:val="28"/>
          <w:szCs w:val="28"/>
        </w:rPr>
        <w:t>мероприятия, направленны</w:t>
      </w:r>
      <w:r w:rsidRPr="001341B3">
        <w:rPr>
          <w:rFonts w:ascii="Times New Roman" w:eastAsia="Calibri" w:hAnsi="Times New Roman" w:cs="Times New Roman"/>
          <w:sz w:val="28"/>
          <w:szCs w:val="28"/>
        </w:rPr>
        <w:t>е</w:t>
      </w:r>
      <w:r w:rsidR="00E31469" w:rsidRPr="001341B3">
        <w:rPr>
          <w:rFonts w:ascii="Times New Roman" w:eastAsia="Calibri" w:hAnsi="Times New Roman" w:cs="Times New Roman"/>
          <w:sz w:val="28"/>
          <w:szCs w:val="28"/>
        </w:rPr>
        <w:t xml:space="preserve"> на минимизацию и устранение рисков нарушения </w:t>
      </w:r>
      <w:r w:rsidR="00E31469"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антимонопольного законодательства:</w:t>
      </w:r>
    </w:p>
    <w:p w14:paraId="5BD1551E" w14:textId="5D56287A" w:rsidR="007722A6" w:rsidRPr="001341B3" w:rsidRDefault="00E31469" w:rsidP="006870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>1) в</w:t>
      </w:r>
      <w:r w:rsidRPr="001341B3">
        <w:rPr>
          <w:rFonts w:ascii="Times New Roman" w:eastAsia="Calibri" w:hAnsi="Times New Roman" w:cs="Times New Roman"/>
          <w:sz w:val="28"/>
          <w:szCs w:val="28"/>
        </w:rPr>
        <w:t xml:space="preserve"> сфере закупок товаров, работ, услуг для обеспечения государственных нужд</w:t>
      </w:r>
      <w:r w:rsidR="007722A6" w:rsidRPr="001341B3">
        <w:rPr>
          <w:rFonts w:ascii="Times New Roman" w:eastAsia="Calibri" w:hAnsi="Times New Roman" w:cs="Times New Roman"/>
          <w:sz w:val="28"/>
          <w:szCs w:val="28"/>
        </w:rPr>
        <w:t xml:space="preserve"> сотрудники министерства принимали участие в семинарах и круглых столах, организуемых, в том числе министерством </w:t>
      </w:r>
      <w:r w:rsidR="007722A6" w:rsidRPr="001341B3">
        <w:rPr>
          <w:rFonts w:ascii="Times New Roman" w:hAnsi="Times New Roman" w:cs="Times New Roman"/>
          <w:sz w:val="28"/>
          <w:szCs w:val="28"/>
        </w:rPr>
        <w:t xml:space="preserve"> экономического развития и инвестиций Нижегородской области;</w:t>
      </w:r>
    </w:p>
    <w:p w14:paraId="26BEA5E2" w14:textId="3F292DC7" w:rsidR="003042D3" w:rsidRPr="001341B3" w:rsidRDefault="00E31469" w:rsidP="006870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1B3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341B3">
        <w:rPr>
          <w:rFonts w:ascii="Times New Roman" w:eastAsia="Calibri" w:hAnsi="Times New Roman" w:cs="Times New Roman"/>
          <w:sz w:val="28"/>
          <w:szCs w:val="28"/>
        </w:rPr>
        <w:t xml:space="preserve"> сфере оказания государственных услуг</w:t>
      </w:r>
      <w:r w:rsidR="00E37FCB" w:rsidRPr="001341B3">
        <w:rPr>
          <w:rFonts w:ascii="Times New Roman" w:eastAsia="Calibri" w:hAnsi="Times New Roman" w:cs="Times New Roman"/>
          <w:sz w:val="28"/>
          <w:szCs w:val="28"/>
        </w:rPr>
        <w:t xml:space="preserve"> сотрудниками министерства осуществлялся</w:t>
      </w:r>
      <w:r w:rsidRPr="001341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42D3" w:rsidRPr="001341B3">
        <w:rPr>
          <w:rFonts w:ascii="Times New Roman" w:eastAsia="Calibri" w:hAnsi="Times New Roman" w:cs="Times New Roman"/>
          <w:sz w:val="28"/>
          <w:szCs w:val="28"/>
        </w:rPr>
        <w:t xml:space="preserve">мониторинг применения антимонопольного законодательства, анализ нормативных правовых актов и их проектов </w:t>
      </w:r>
      <w:r w:rsidR="00E37FCB" w:rsidRPr="001341B3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3042D3" w:rsidRPr="001341B3">
        <w:rPr>
          <w:rFonts w:ascii="Times New Roman" w:eastAsia="Calibri" w:hAnsi="Times New Roman" w:cs="Times New Roman"/>
          <w:sz w:val="28"/>
          <w:szCs w:val="28"/>
        </w:rPr>
        <w:t>в сфере оказания государственных услуг на предмет их соответствия антимонопольному законодательству</w:t>
      </w:r>
      <w:r w:rsidR="009C6B72" w:rsidRPr="001341B3">
        <w:rPr>
          <w:rFonts w:ascii="Times New Roman" w:eastAsia="Calibri" w:hAnsi="Times New Roman" w:cs="Times New Roman"/>
          <w:sz w:val="28"/>
          <w:szCs w:val="28"/>
        </w:rPr>
        <w:t>,</w:t>
      </w:r>
      <w:r w:rsidR="003042D3" w:rsidRPr="001341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523C" w:rsidRPr="001341B3">
        <w:rPr>
          <w:rFonts w:ascii="Times New Roman" w:eastAsia="Calibri" w:hAnsi="Times New Roman" w:cs="Times New Roman"/>
          <w:sz w:val="28"/>
          <w:szCs w:val="28"/>
        </w:rPr>
        <w:t xml:space="preserve">осуществлялся </w:t>
      </w:r>
      <w:r w:rsidR="003042D3" w:rsidRPr="001341B3">
        <w:rPr>
          <w:rFonts w:ascii="Times New Roman" w:eastAsia="Calibri" w:hAnsi="Times New Roman" w:cs="Times New Roman"/>
          <w:sz w:val="28"/>
          <w:szCs w:val="28"/>
        </w:rPr>
        <w:t xml:space="preserve">контроль соблюдения сроков оказания государственных услуг, </w:t>
      </w:r>
      <w:r w:rsidR="009C6B72" w:rsidRPr="001341B3">
        <w:rPr>
          <w:rFonts w:ascii="Times New Roman" w:eastAsia="Calibri" w:hAnsi="Times New Roman" w:cs="Times New Roman"/>
          <w:sz w:val="28"/>
          <w:szCs w:val="28"/>
        </w:rPr>
        <w:t xml:space="preserve">по результатам указанных мероприятий </w:t>
      </w:r>
      <w:r w:rsidR="003042D3" w:rsidRPr="001341B3">
        <w:rPr>
          <w:rFonts w:ascii="Times New Roman" w:eastAsia="Calibri" w:hAnsi="Times New Roman" w:cs="Times New Roman"/>
          <w:sz w:val="28"/>
          <w:szCs w:val="28"/>
        </w:rPr>
        <w:t>несоответстви</w:t>
      </w:r>
      <w:r w:rsidR="009C6B72" w:rsidRPr="001341B3">
        <w:rPr>
          <w:rFonts w:ascii="Times New Roman" w:eastAsia="Calibri" w:hAnsi="Times New Roman" w:cs="Times New Roman"/>
          <w:sz w:val="28"/>
          <w:szCs w:val="28"/>
        </w:rPr>
        <w:t>я</w:t>
      </w:r>
      <w:r w:rsidR="003042D3" w:rsidRPr="001341B3">
        <w:rPr>
          <w:rFonts w:ascii="Times New Roman" w:eastAsia="Calibri" w:hAnsi="Times New Roman" w:cs="Times New Roman"/>
          <w:sz w:val="28"/>
          <w:szCs w:val="28"/>
        </w:rPr>
        <w:t>, неточност</w:t>
      </w:r>
      <w:r w:rsidR="009C6B72" w:rsidRPr="001341B3">
        <w:rPr>
          <w:rFonts w:ascii="Times New Roman" w:eastAsia="Calibri" w:hAnsi="Times New Roman" w:cs="Times New Roman"/>
          <w:sz w:val="28"/>
          <w:szCs w:val="28"/>
        </w:rPr>
        <w:t>и</w:t>
      </w:r>
      <w:r w:rsidR="003042D3" w:rsidRPr="001341B3">
        <w:rPr>
          <w:rFonts w:ascii="Times New Roman" w:eastAsia="Calibri" w:hAnsi="Times New Roman" w:cs="Times New Roman"/>
          <w:sz w:val="28"/>
          <w:szCs w:val="28"/>
        </w:rPr>
        <w:t>, неопределенност</w:t>
      </w:r>
      <w:r w:rsidR="009C6B72" w:rsidRPr="001341B3">
        <w:rPr>
          <w:rFonts w:ascii="Times New Roman" w:eastAsia="Calibri" w:hAnsi="Times New Roman" w:cs="Times New Roman"/>
          <w:sz w:val="28"/>
          <w:szCs w:val="28"/>
        </w:rPr>
        <w:t>и</w:t>
      </w:r>
      <w:r w:rsidR="003042D3" w:rsidRPr="001341B3">
        <w:rPr>
          <w:rFonts w:ascii="Times New Roman" w:eastAsia="Calibri" w:hAnsi="Times New Roman" w:cs="Times New Roman"/>
          <w:sz w:val="28"/>
          <w:szCs w:val="28"/>
        </w:rPr>
        <w:t>, внутренни</w:t>
      </w:r>
      <w:r w:rsidR="009C6B72" w:rsidRPr="001341B3">
        <w:rPr>
          <w:rFonts w:ascii="Times New Roman" w:eastAsia="Calibri" w:hAnsi="Times New Roman" w:cs="Times New Roman"/>
          <w:sz w:val="28"/>
          <w:szCs w:val="28"/>
        </w:rPr>
        <w:t>е</w:t>
      </w:r>
      <w:r w:rsidR="003042D3" w:rsidRPr="001341B3">
        <w:rPr>
          <w:rFonts w:ascii="Times New Roman" w:eastAsia="Calibri" w:hAnsi="Times New Roman" w:cs="Times New Roman"/>
          <w:sz w:val="28"/>
          <w:szCs w:val="28"/>
        </w:rPr>
        <w:t xml:space="preserve"> противоречи</w:t>
      </w:r>
      <w:r w:rsidR="009C6B72" w:rsidRPr="001341B3">
        <w:rPr>
          <w:rFonts w:ascii="Times New Roman" w:eastAsia="Calibri" w:hAnsi="Times New Roman" w:cs="Times New Roman"/>
          <w:sz w:val="28"/>
          <w:szCs w:val="28"/>
        </w:rPr>
        <w:t>я</w:t>
      </w:r>
      <w:r w:rsidR="003042D3" w:rsidRPr="001341B3">
        <w:rPr>
          <w:rFonts w:ascii="Times New Roman" w:eastAsia="Calibri" w:hAnsi="Times New Roman" w:cs="Times New Roman"/>
          <w:sz w:val="28"/>
          <w:szCs w:val="28"/>
        </w:rPr>
        <w:t>, влекущи</w:t>
      </w:r>
      <w:r w:rsidR="009C6B72" w:rsidRPr="001341B3">
        <w:rPr>
          <w:rFonts w:ascii="Times New Roman" w:eastAsia="Calibri" w:hAnsi="Times New Roman" w:cs="Times New Roman"/>
          <w:sz w:val="28"/>
          <w:szCs w:val="28"/>
        </w:rPr>
        <w:t>е</w:t>
      </w:r>
      <w:r w:rsidR="003042D3" w:rsidRPr="001341B3">
        <w:rPr>
          <w:rFonts w:ascii="Times New Roman" w:eastAsia="Calibri" w:hAnsi="Times New Roman" w:cs="Times New Roman"/>
          <w:sz w:val="28"/>
          <w:szCs w:val="28"/>
        </w:rPr>
        <w:t xml:space="preserve"> неоднозначное толкование</w:t>
      </w:r>
      <w:r w:rsidR="009C6B72" w:rsidRPr="001341B3">
        <w:rPr>
          <w:rFonts w:ascii="Times New Roman" w:eastAsia="Calibri" w:hAnsi="Times New Roman" w:cs="Times New Roman"/>
          <w:sz w:val="28"/>
          <w:szCs w:val="28"/>
        </w:rPr>
        <w:t>, не выявлены</w:t>
      </w:r>
      <w:r w:rsidR="003042D3" w:rsidRPr="001341B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E67507F" w14:textId="76848FF0" w:rsidR="003042D3" w:rsidRPr="001341B3" w:rsidRDefault="00F61F6A" w:rsidP="006870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1B3"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="003042D3" w:rsidRPr="001341B3">
        <w:rPr>
          <w:rFonts w:ascii="Times New Roman" w:eastAsia="Calibri" w:hAnsi="Times New Roman" w:cs="Times New Roman"/>
          <w:sz w:val="28"/>
          <w:szCs w:val="28"/>
        </w:rPr>
        <w:t xml:space="preserve">) в сфере рассмотрения обращений физических и юридических лиц </w:t>
      </w:r>
      <w:r w:rsidR="0011523C" w:rsidRPr="001341B3">
        <w:rPr>
          <w:rFonts w:ascii="Times New Roman" w:eastAsia="Calibri" w:hAnsi="Times New Roman" w:cs="Times New Roman"/>
          <w:sz w:val="28"/>
          <w:szCs w:val="28"/>
        </w:rPr>
        <w:t>осуществляется</w:t>
      </w:r>
      <w:r w:rsidR="003042D3" w:rsidRPr="001341B3">
        <w:rPr>
          <w:rFonts w:ascii="Times New Roman" w:eastAsia="Calibri" w:hAnsi="Times New Roman" w:cs="Times New Roman"/>
          <w:sz w:val="28"/>
          <w:szCs w:val="28"/>
        </w:rPr>
        <w:t xml:space="preserve"> контрол</w:t>
      </w:r>
      <w:r w:rsidR="00E37FCB" w:rsidRPr="001341B3">
        <w:rPr>
          <w:rFonts w:ascii="Times New Roman" w:eastAsia="Calibri" w:hAnsi="Times New Roman" w:cs="Times New Roman"/>
          <w:sz w:val="28"/>
          <w:szCs w:val="28"/>
        </w:rPr>
        <w:t>ь</w:t>
      </w:r>
      <w:r w:rsidR="003042D3" w:rsidRPr="001341B3">
        <w:rPr>
          <w:rFonts w:ascii="Times New Roman" w:eastAsia="Calibri" w:hAnsi="Times New Roman" w:cs="Times New Roman"/>
          <w:sz w:val="28"/>
          <w:szCs w:val="28"/>
        </w:rPr>
        <w:t xml:space="preserve"> за сроками подготовки и направления ответов </w:t>
      </w:r>
      <w:r w:rsidR="0011523C" w:rsidRPr="001341B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042D3" w:rsidRPr="001341B3">
        <w:rPr>
          <w:rFonts w:ascii="Times New Roman" w:eastAsia="Calibri" w:hAnsi="Times New Roman" w:cs="Times New Roman"/>
          <w:sz w:val="28"/>
          <w:szCs w:val="28"/>
        </w:rPr>
        <w:t>на обращения физических и юридических лиц в соответствии с требованиями законодательства РФ и Нижегородской области</w:t>
      </w:r>
      <w:r w:rsidR="009C6B72" w:rsidRPr="001341B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1523C" w:rsidRPr="001341B3">
        <w:rPr>
          <w:rFonts w:ascii="Times New Roman" w:eastAsia="Calibri" w:hAnsi="Times New Roman" w:cs="Times New Roman"/>
          <w:sz w:val="28"/>
          <w:szCs w:val="28"/>
        </w:rPr>
        <w:t>проведена</w:t>
      </w:r>
      <w:r w:rsidR="00484F90" w:rsidRPr="001341B3">
        <w:rPr>
          <w:rFonts w:ascii="Times New Roman" w:eastAsia="Calibri" w:hAnsi="Times New Roman" w:cs="Times New Roman"/>
          <w:sz w:val="28"/>
          <w:szCs w:val="28"/>
        </w:rPr>
        <w:t xml:space="preserve"> работа по </w:t>
      </w:r>
      <w:r w:rsidR="003042D3" w:rsidRPr="001341B3">
        <w:rPr>
          <w:rFonts w:ascii="Times New Roman" w:eastAsia="Calibri" w:hAnsi="Times New Roman" w:cs="Times New Roman"/>
          <w:sz w:val="28"/>
          <w:szCs w:val="28"/>
        </w:rPr>
        <w:t>повышени</w:t>
      </w:r>
      <w:r w:rsidR="00484F90" w:rsidRPr="001341B3">
        <w:rPr>
          <w:rFonts w:ascii="Times New Roman" w:eastAsia="Calibri" w:hAnsi="Times New Roman" w:cs="Times New Roman"/>
          <w:sz w:val="28"/>
          <w:szCs w:val="28"/>
        </w:rPr>
        <w:t>ю</w:t>
      </w:r>
      <w:r w:rsidR="003042D3" w:rsidRPr="001341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4F90" w:rsidRPr="001341B3">
        <w:rPr>
          <w:rFonts w:ascii="Times New Roman" w:eastAsia="Calibri" w:hAnsi="Times New Roman" w:cs="Times New Roman"/>
          <w:sz w:val="28"/>
          <w:szCs w:val="28"/>
        </w:rPr>
        <w:t xml:space="preserve">уровня </w:t>
      </w:r>
      <w:r w:rsidR="003042D3" w:rsidRPr="001341B3">
        <w:rPr>
          <w:rFonts w:ascii="Times New Roman" w:eastAsia="Calibri" w:hAnsi="Times New Roman" w:cs="Times New Roman"/>
          <w:sz w:val="28"/>
          <w:szCs w:val="28"/>
        </w:rPr>
        <w:t>квалификации специалист</w:t>
      </w:r>
      <w:r w:rsidR="00484F90" w:rsidRPr="001341B3">
        <w:rPr>
          <w:rFonts w:ascii="Times New Roman" w:eastAsia="Calibri" w:hAnsi="Times New Roman" w:cs="Times New Roman"/>
          <w:sz w:val="28"/>
          <w:szCs w:val="28"/>
        </w:rPr>
        <w:t xml:space="preserve">ов </w:t>
      </w:r>
      <w:r w:rsidR="003042D3" w:rsidRPr="001341B3">
        <w:rPr>
          <w:rFonts w:ascii="Times New Roman" w:eastAsia="Calibri" w:hAnsi="Times New Roman" w:cs="Times New Roman"/>
          <w:sz w:val="28"/>
          <w:szCs w:val="28"/>
        </w:rPr>
        <w:t>министерства в рамках действующих должностных обязанностей</w:t>
      </w:r>
      <w:r w:rsidR="009C6B72" w:rsidRPr="001341B3">
        <w:rPr>
          <w:rFonts w:ascii="Times New Roman" w:eastAsia="Calibri" w:hAnsi="Times New Roman" w:cs="Times New Roman"/>
          <w:sz w:val="28"/>
          <w:szCs w:val="28"/>
        </w:rPr>
        <w:t xml:space="preserve"> посредством участия в организованных министерством семинарах и круглых столах;</w:t>
      </w:r>
    </w:p>
    <w:p w14:paraId="73F92873" w14:textId="21E13C24" w:rsidR="00F61F6A" w:rsidRPr="001341B3" w:rsidRDefault="00F61F6A" w:rsidP="006870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1B3">
        <w:rPr>
          <w:rFonts w:ascii="Times New Roman" w:eastAsia="Calibri" w:hAnsi="Times New Roman" w:cs="Times New Roman"/>
          <w:sz w:val="28"/>
          <w:szCs w:val="28"/>
        </w:rPr>
        <w:t>4) в сфере финансово-экономической деятельности осуществлялся мониторинг реализации плановых мероприятий</w:t>
      </w:r>
      <w:r w:rsidR="00CB1277" w:rsidRPr="001341B3">
        <w:rPr>
          <w:rFonts w:ascii="Times New Roman" w:eastAsia="Calibri" w:hAnsi="Times New Roman" w:cs="Times New Roman"/>
          <w:sz w:val="28"/>
          <w:szCs w:val="28"/>
        </w:rPr>
        <w:t xml:space="preserve">, своевременно </w:t>
      </w:r>
      <w:r w:rsidRPr="001341B3">
        <w:rPr>
          <w:rFonts w:ascii="Times New Roman" w:eastAsia="Calibri" w:hAnsi="Times New Roman" w:cs="Times New Roman"/>
          <w:sz w:val="28"/>
          <w:szCs w:val="28"/>
        </w:rPr>
        <w:t>проведен</w:t>
      </w:r>
      <w:r w:rsidR="00CB1277" w:rsidRPr="001341B3">
        <w:rPr>
          <w:rFonts w:ascii="Times New Roman" w:eastAsia="Calibri" w:hAnsi="Times New Roman" w:cs="Times New Roman"/>
          <w:sz w:val="28"/>
          <w:szCs w:val="28"/>
        </w:rPr>
        <w:t>ы</w:t>
      </w:r>
      <w:r w:rsidRPr="001341B3">
        <w:rPr>
          <w:rFonts w:ascii="Times New Roman" w:eastAsia="Calibri" w:hAnsi="Times New Roman" w:cs="Times New Roman"/>
          <w:sz w:val="28"/>
          <w:szCs w:val="28"/>
        </w:rPr>
        <w:t xml:space="preserve"> корректировк</w:t>
      </w:r>
      <w:r w:rsidR="00CB1277" w:rsidRPr="001341B3">
        <w:rPr>
          <w:rFonts w:ascii="Times New Roman" w:eastAsia="Calibri" w:hAnsi="Times New Roman" w:cs="Times New Roman"/>
          <w:sz w:val="28"/>
          <w:szCs w:val="28"/>
        </w:rPr>
        <w:t>и</w:t>
      </w:r>
      <w:r w:rsidRPr="001341B3">
        <w:rPr>
          <w:rFonts w:ascii="Times New Roman" w:eastAsia="Calibri" w:hAnsi="Times New Roman" w:cs="Times New Roman"/>
          <w:sz w:val="28"/>
          <w:szCs w:val="28"/>
        </w:rPr>
        <w:t xml:space="preserve"> объемов бюджетных средств</w:t>
      </w:r>
      <w:r w:rsidR="00CB1277" w:rsidRPr="001341B3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1341B3">
        <w:rPr>
          <w:rFonts w:ascii="Times New Roman" w:eastAsia="Calibri" w:hAnsi="Times New Roman" w:cs="Times New Roman"/>
          <w:sz w:val="28"/>
          <w:szCs w:val="28"/>
        </w:rPr>
        <w:t xml:space="preserve"> перераспределение финансовых средств в целях их эффективного расходования.</w:t>
      </w:r>
    </w:p>
    <w:p w14:paraId="64D2AB2F" w14:textId="213196CC" w:rsidR="007905E2" w:rsidRPr="001341B3" w:rsidRDefault="00CB1277" w:rsidP="00687048">
      <w:pPr>
        <w:pStyle w:val="nospacing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1341B3">
        <w:rPr>
          <w:sz w:val="28"/>
          <w:szCs w:val="28"/>
        </w:rPr>
        <w:t>Указанное выше свидетельствует</w:t>
      </w:r>
      <w:r w:rsidR="00673227" w:rsidRPr="001341B3">
        <w:rPr>
          <w:sz w:val="28"/>
          <w:szCs w:val="28"/>
        </w:rPr>
        <w:t xml:space="preserve"> об</w:t>
      </w:r>
      <w:r w:rsidR="007905E2" w:rsidRPr="001341B3">
        <w:rPr>
          <w:sz w:val="28"/>
          <w:szCs w:val="28"/>
        </w:rPr>
        <w:t xml:space="preserve"> исполнени</w:t>
      </w:r>
      <w:r w:rsidR="00673227" w:rsidRPr="001341B3">
        <w:rPr>
          <w:sz w:val="28"/>
          <w:szCs w:val="28"/>
        </w:rPr>
        <w:t>и плана</w:t>
      </w:r>
      <w:r w:rsidR="007905E2" w:rsidRPr="001341B3">
        <w:rPr>
          <w:sz w:val="28"/>
          <w:szCs w:val="28"/>
        </w:rPr>
        <w:t xml:space="preserve"> мероприятий</w:t>
      </w:r>
      <w:r w:rsidR="00673227" w:rsidRPr="001341B3">
        <w:rPr>
          <w:sz w:val="28"/>
          <w:szCs w:val="28"/>
        </w:rPr>
        <w:t xml:space="preserve">, </w:t>
      </w:r>
      <w:r w:rsidR="00673227" w:rsidRPr="001341B3">
        <w:rPr>
          <w:rFonts w:eastAsia="Calibri"/>
          <w:sz w:val="28"/>
          <w:szCs w:val="28"/>
        </w:rPr>
        <w:t xml:space="preserve">направленных на минимизацию и устранение рисков нарушения  </w:t>
      </w:r>
      <w:r w:rsidR="00673227" w:rsidRPr="001341B3">
        <w:rPr>
          <w:sz w:val="28"/>
          <w:szCs w:val="28"/>
        </w:rPr>
        <w:t xml:space="preserve">антимонопольного законодательства, </w:t>
      </w:r>
      <w:r w:rsidR="00673227" w:rsidRPr="001341B3">
        <w:rPr>
          <w:sz w:val="28"/>
          <w:szCs w:val="28"/>
          <w:bdr w:val="none" w:sz="0" w:space="0" w:color="auto" w:frame="1"/>
        </w:rPr>
        <w:t>в полном объеме</w:t>
      </w:r>
      <w:r w:rsidR="007905E2" w:rsidRPr="001341B3">
        <w:rPr>
          <w:sz w:val="28"/>
          <w:szCs w:val="28"/>
        </w:rPr>
        <w:t>.</w:t>
      </w:r>
    </w:p>
    <w:p w14:paraId="12D3D76C" w14:textId="77777777" w:rsidR="00146374" w:rsidRPr="001341B3" w:rsidRDefault="00146374" w:rsidP="0068704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D67A10" w14:textId="282A7184" w:rsidR="00146374" w:rsidRPr="001341B3" w:rsidRDefault="007905E2" w:rsidP="0068704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1B3"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Pr="001341B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1341B3">
        <w:rPr>
          <w:rFonts w:ascii="Times New Roman" w:eastAsia="Calibri" w:hAnsi="Times New Roman" w:cs="Times New Roman"/>
          <w:b/>
          <w:sz w:val="28"/>
          <w:szCs w:val="28"/>
        </w:rPr>
        <w:t xml:space="preserve">. Достижение ключевых показателей эффективности </w:t>
      </w:r>
      <w:r w:rsidRPr="00134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антимонопольного комплаенса</w:t>
      </w:r>
      <w:r w:rsidR="00673227" w:rsidRPr="00134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7F51947D" w14:textId="77777777" w:rsidR="00673227" w:rsidRPr="001341B3" w:rsidRDefault="00673227" w:rsidP="0068704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7A338C60" w14:textId="7097123C" w:rsidR="00F56DBE" w:rsidRPr="001341B3" w:rsidRDefault="00912A22" w:rsidP="0068704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341B3">
        <w:rPr>
          <w:rFonts w:ascii="Times New Roman" w:eastAsia="Calibri" w:hAnsi="Times New Roman" w:cs="Times New Roman"/>
          <w:sz w:val="28"/>
          <w:szCs w:val="28"/>
        </w:rPr>
        <w:t>Методика расчета ключевых показателей эффективности функционирования в министерстве антимонопольного комплаенса утверждена приказом</w:t>
      </w:r>
      <w:r w:rsidR="00F61F6A"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DBE"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="00F56DBE" w:rsidRPr="001341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 </w:t>
      </w:r>
      <w:r w:rsidRPr="001341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15.04.2019 № 89</w:t>
      </w:r>
      <w:r w:rsidR="00F01327" w:rsidRPr="001341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 202</w:t>
      </w:r>
      <w:r w:rsidR="002639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="00F01327" w:rsidRPr="001341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</w:t>
      </w:r>
      <w:r w:rsidRPr="001341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F01327" w:rsidRPr="001341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она осталась неизменной.</w:t>
      </w:r>
    </w:p>
    <w:p w14:paraId="2C311863" w14:textId="7CDA45F3" w:rsidR="00637A99" w:rsidRPr="001341B3" w:rsidRDefault="00637A99" w:rsidP="006870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1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Ключевыми показателями</w:t>
      </w:r>
      <w:r w:rsidRPr="001341B3">
        <w:rPr>
          <w:rFonts w:ascii="Times New Roman" w:eastAsia="Calibri" w:hAnsi="Times New Roman" w:cs="Times New Roman"/>
          <w:sz w:val="28"/>
          <w:szCs w:val="28"/>
        </w:rPr>
        <w:t xml:space="preserve"> эффективности антимонопольного комплаенса для министерства в целом являются:</w:t>
      </w:r>
    </w:p>
    <w:p w14:paraId="34FC6D48" w14:textId="087BD000" w:rsidR="00637A99" w:rsidRPr="001341B3" w:rsidRDefault="00637A99" w:rsidP="006870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1B3">
        <w:rPr>
          <w:rFonts w:ascii="Times New Roman" w:eastAsia="Calibri" w:hAnsi="Times New Roman" w:cs="Times New Roman"/>
          <w:sz w:val="28"/>
          <w:szCs w:val="28"/>
        </w:rPr>
        <w:t>- к</w:t>
      </w:r>
      <w:r w:rsidR="00912A22" w:rsidRPr="001341B3">
        <w:rPr>
          <w:rFonts w:ascii="Times New Roman" w:eastAsia="Calibri" w:hAnsi="Times New Roman" w:cs="Times New Roman"/>
          <w:sz w:val="28"/>
          <w:szCs w:val="28"/>
        </w:rPr>
        <w:t xml:space="preserve">оэффициент снижения количества </w:t>
      </w:r>
      <w:bookmarkStart w:id="4" w:name="_Hlk94273983"/>
      <w:r w:rsidR="00912A22" w:rsidRPr="001341B3">
        <w:rPr>
          <w:rFonts w:ascii="Times New Roman" w:eastAsia="Calibri" w:hAnsi="Times New Roman" w:cs="Times New Roman"/>
          <w:sz w:val="28"/>
          <w:szCs w:val="28"/>
        </w:rPr>
        <w:t>нарушений антимонопольного законодательства</w:t>
      </w:r>
      <w:r w:rsidRPr="001341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4"/>
      <w:r w:rsidR="00595EAF" w:rsidRPr="001341B3">
        <w:rPr>
          <w:rFonts w:ascii="Times New Roman" w:eastAsia="Calibri" w:hAnsi="Times New Roman" w:cs="Times New Roman"/>
          <w:sz w:val="28"/>
          <w:szCs w:val="28"/>
        </w:rPr>
        <w:t xml:space="preserve">со стороны министерства </w:t>
      </w:r>
      <w:r w:rsidRPr="001341B3">
        <w:rPr>
          <w:rFonts w:ascii="Times New Roman" w:eastAsia="Calibri" w:hAnsi="Times New Roman" w:cs="Times New Roman"/>
          <w:sz w:val="28"/>
          <w:szCs w:val="28"/>
        </w:rPr>
        <w:t>по сравнению с предыдущим годом;</w:t>
      </w:r>
    </w:p>
    <w:p w14:paraId="74F39AFB" w14:textId="0B4A3524" w:rsidR="00637A99" w:rsidRPr="001341B3" w:rsidRDefault="00637A99" w:rsidP="006870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1B3">
        <w:rPr>
          <w:rFonts w:ascii="Times New Roman" w:eastAsia="Calibri" w:hAnsi="Times New Roman" w:cs="Times New Roman"/>
          <w:sz w:val="28"/>
          <w:szCs w:val="28"/>
        </w:rPr>
        <w:t>- доля проектов нормативных правовых актов министерства</w:t>
      </w:r>
      <w:r w:rsidR="00595EAF" w:rsidRPr="001341B3">
        <w:rPr>
          <w:rFonts w:ascii="Times New Roman" w:eastAsia="Calibri" w:hAnsi="Times New Roman" w:cs="Times New Roman"/>
          <w:sz w:val="28"/>
          <w:szCs w:val="28"/>
        </w:rPr>
        <w:t>, в которых выявлены риски нарушения антимонопольного законодательства;</w:t>
      </w:r>
    </w:p>
    <w:p w14:paraId="263507F0" w14:textId="1D17A4D9" w:rsidR="00595EAF" w:rsidRPr="001341B3" w:rsidRDefault="00595EAF" w:rsidP="006870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1B3">
        <w:rPr>
          <w:rFonts w:ascii="Times New Roman" w:eastAsia="Calibri" w:hAnsi="Times New Roman" w:cs="Times New Roman"/>
          <w:sz w:val="28"/>
          <w:szCs w:val="28"/>
        </w:rPr>
        <w:t>- доля нормативных правовых актов министерства, в которых выявлены риски нарушения антимонопольного законодательства.</w:t>
      </w:r>
    </w:p>
    <w:p w14:paraId="38CDE8B9" w14:textId="263B79CB" w:rsidR="00912A22" w:rsidRPr="001341B3" w:rsidRDefault="00912A22" w:rsidP="006870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1B3">
        <w:rPr>
          <w:rFonts w:ascii="Times New Roman" w:eastAsia="Calibri" w:hAnsi="Times New Roman" w:cs="Times New Roman"/>
          <w:sz w:val="28"/>
          <w:szCs w:val="28"/>
        </w:rPr>
        <w:t xml:space="preserve">В связи с тем, что нарушений антимонопольного законодательства со стороны </w:t>
      </w:r>
      <w:bookmarkStart w:id="5" w:name="_Hlk64301470"/>
      <w:r w:rsidRPr="001341B3">
        <w:rPr>
          <w:rFonts w:ascii="Times New Roman" w:eastAsia="Calibri" w:hAnsi="Times New Roman" w:cs="Times New Roman"/>
          <w:sz w:val="28"/>
          <w:szCs w:val="28"/>
        </w:rPr>
        <w:t>министерства</w:t>
      </w:r>
      <w:bookmarkEnd w:id="5"/>
      <w:r w:rsidRPr="001341B3">
        <w:rPr>
          <w:rFonts w:ascii="Times New Roman" w:eastAsia="Calibri" w:hAnsi="Times New Roman" w:cs="Times New Roman"/>
          <w:sz w:val="28"/>
          <w:szCs w:val="28"/>
        </w:rPr>
        <w:t xml:space="preserve"> в отчетном периоде не выявлено, </w:t>
      </w:r>
      <w:bookmarkStart w:id="6" w:name="_Hlk64301425"/>
      <w:r w:rsidR="00285967" w:rsidRPr="001341B3">
        <w:rPr>
          <w:rFonts w:ascii="Times New Roman" w:eastAsia="Calibri" w:hAnsi="Times New Roman" w:cs="Times New Roman"/>
          <w:sz w:val="28"/>
          <w:szCs w:val="28"/>
        </w:rPr>
        <w:t xml:space="preserve">коэффициент снижения количества нарушений антимонопольного законодательства со стороны министерства по сравнению с предыдущим годом </w:t>
      </w:r>
      <w:bookmarkEnd w:id="6"/>
      <w:r w:rsidRPr="001341B3">
        <w:rPr>
          <w:rFonts w:ascii="Times New Roman" w:eastAsia="Calibri" w:hAnsi="Times New Roman" w:cs="Times New Roman"/>
          <w:sz w:val="28"/>
          <w:szCs w:val="28"/>
        </w:rPr>
        <w:t>равен 0</w:t>
      </w:r>
      <w:r w:rsidR="00CA107F" w:rsidRPr="001341B3">
        <w:rPr>
          <w:rFonts w:ascii="Times New Roman" w:eastAsia="Calibri" w:hAnsi="Times New Roman" w:cs="Times New Roman"/>
          <w:sz w:val="28"/>
          <w:szCs w:val="28"/>
        </w:rPr>
        <w:t>; доля проектов нормативных правовых актов министерства, в которых выявлены риски нарушения антимонопольного законодательства равна 0; доля нормативных правовых актов министерства, в которых выявлены риски нарушения антимонопольного законодательства также равна 0</w:t>
      </w:r>
      <w:r w:rsidRPr="001341B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6448480" w14:textId="72F186C4" w:rsidR="00132CBF" w:rsidRPr="001341B3" w:rsidRDefault="00132CBF" w:rsidP="0068704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341B3">
        <w:rPr>
          <w:rFonts w:ascii="Times New Roman" w:hAnsi="Times New Roman" w:cs="Times New Roman"/>
          <w:sz w:val="28"/>
          <w:szCs w:val="28"/>
        </w:rPr>
        <w:lastRenderedPageBreak/>
        <w:t>Доля сотрудников министерства, чьи трудовые (должностные) обязанности предусматривают выполнение функций, связанных с рисками нарушения антимонопольного законодательства, с которыми были проведены обучающие мероприятия в форме консультирования по антимонопольному законодательству и антимонопольному комплаенсу, составила 100%.</w:t>
      </w:r>
    </w:p>
    <w:p w14:paraId="76E407FA" w14:textId="77BA80CF" w:rsidR="00132CBF" w:rsidRPr="001341B3" w:rsidRDefault="00132CBF" w:rsidP="0068704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52B2E6E8" w14:textId="69C4E804" w:rsidR="00912A22" w:rsidRPr="001341B3" w:rsidRDefault="00E3359E" w:rsidP="0068704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41B3"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Pr="001341B3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1341B3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912A22" w:rsidRPr="001341B3">
        <w:rPr>
          <w:rFonts w:ascii="Times New Roman" w:eastAsia="Calibri" w:hAnsi="Times New Roman" w:cs="Times New Roman"/>
          <w:b/>
          <w:bCs/>
          <w:sz w:val="28"/>
          <w:szCs w:val="28"/>
        </w:rPr>
        <w:t>Выводы об эффективности функционирования антимонопольного комплаенса</w:t>
      </w:r>
      <w:r w:rsidRPr="001341B3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7EA6020E" w14:textId="77777777" w:rsidR="00673227" w:rsidRPr="001341B3" w:rsidRDefault="00673227" w:rsidP="0068704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C017BB6" w14:textId="1FC9C0CD" w:rsidR="00912A22" w:rsidRPr="001341B3" w:rsidRDefault="00912A22" w:rsidP="00687048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Урегулировано взаимодействие структурных подразделений </w:t>
      </w:r>
      <w:r w:rsidRPr="001341B3">
        <w:rPr>
          <w:rFonts w:ascii="Times New Roman" w:eastAsia="Calibri" w:hAnsi="Times New Roman" w:cs="Times New Roman"/>
          <w:sz w:val="28"/>
          <w:szCs w:val="28"/>
        </w:rPr>
        <w:t>министерства</w:t>
      </w:r>
      <w:r w:rsidRPr="001341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вопросам организации системы внутреннего обеспечения соответствия требованиям антимонопольного законодательства и внедрения антимонопольного комплаенса.</w:t>
      </w:r>
    </w:p>
    <w:p w14:paraId="2FF3B8C7" w14:textId="0EAE877A" w:rsidR="00912A22" w:rsidRPr="001341B3" w:rsidRDefault="00912A22" w:rsidP="00687048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Проведена оценка рисков нарушения антимонопольного законодательства, по результатам которой составлена к</w:t>
      </w:r>
      <w:r w:rsidRPr="0013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арта (паспорт) комплаенс-рисков </w:t>
      </w:r>
      <w:r w:rsidRPr="001341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антимонопольного законодательства на 202</w:t>
      </w:r>
      <w:r w:rsidR="002639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Pr="001341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г.</w:t>
      </w:r>
    </w:p>
    <w:p w14:paraId="340484F5" w14:textId="29F3FFAD" w:rsidR="00912A22" w:rsidRPr="001341B3" w:rsidRDefault="00912A22" w:rsidP="00687048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</w:pPr>
      <w:r w:rsidRPr="001341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целях снижения рисков нарушения антимонопольного законодательства разработан План мероприятий </w:t>
      </w:r>
      <w:r w:rsidRPr="001341B3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(«дорожная карта») по снижению рисков нарушения антимонопольного законодательства в </w:t>
      </w:r>
      <w:r w:rsidRPr="001341B3"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Pr="001341B3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е на 202</w:t>
      </w:r>
      <w:r w:rsidR="0026395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6</w:t>
      </w:r>
      <w:r w:rsidRPr="001341B3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г.</w:t>
      </w:r>
    </w:p>
    <w:p w14:paraId="43CFF15B" w14:textId="77777777" w:rsidR="00FB6E97" w:rsidRPr="001341B3" w:rsidRDefault="00FB6E97" w:rsidP="00687048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Разработанные нормативные акты </w:t>
      </w:r>
      <w:r w:rsidRPr="001341B3">
        <w:rPr>
          <w:rFonts w:ascii="Times New Roman" w:eastAsia="Calibri" w:hAnsi="Times New Roman" w:cs="Times New Roman"/>
          <w:sz w:val="28"/>
          <w:szCs w:val="28"/>
        </w:rPr>
        <w:t>министерства</w:t>
      </w:r>
      <w:r w:rsidRPr="001341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сфере антимонопольного комплаенса регулярно публикуются на официальном сайте </w:t>
      </w:r>
      <w:r w:rsidRPr="001341B3">
        <w:rPr>
          <w:rFonts w:ascii="Times New Roman" w:eastAsia="Calibri" w:hAnsi="Times New Roman" w:cs="Times New Roman"/>
          <w:sz w:val="28"/>
          <w:szCs w:val="28"/>
        </w:rPr>
        <w:t xml:space="preserve">министерства в </w:t>
      </w:r>
      <w:r w:rsidRPr="001341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разделе «Антимонопольный комплаенс».</w:t>
      </w:r>
    </w:p>
    <w:p w14:paraId="3FDD5015" w14:textId="0E2C99FA" w:rsidR="00CA2544" w:rsidRPr="00687048" w:rsidRDefault="00CA2544" w:rsidP="00687048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Система внутреннего обеспечения соответствия требованиям антимонопольного </w:t>
      </w:r>
      <w:r w:rsidRPr="00F175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законодательства, введенная в министерстве в 2019 г., показала в 202</w:t>
      </w:r>
      <w:r w:rsidR="002639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Pr="00F175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г. </w:t>
      </w:r>
      <w:r w:rsidR="00687048" w:rsidRPr="00F175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отсутствие </w:t>
      </w:r>
      <w:r w:rsidRPr="00F175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нарушений антимонопольного законодательства и комплаенс-рисков, что</w:t>
      </w:r>
      <w:r w:rsidRPr="001341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обеспечено</w:t>
      </w:r>
      <w:r w:rsidRPr="006870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эффективной работой сотрудников министерства, направленной на предотвращение нарушений антимонопольного законодательства.</w:t>
      </w:r>
    </w:p>
    <w:p w14:paraId="2C6D7C9A" w14:textId="287E2832" w:rsidR="00912A22" w:rsidRPr="00687048" w:rsidRDefault="00687048" w:rsidP="0068704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Таким образом, в министерстве продолжается планомерная работа по снижению рисков нарушений антимонопольного законодательства и сохранению достигнутого уровня эффективности функционирования </w:t>
      </w:r>
      <w:r w:rsidRPr="00687048">
        <w:rPr>
          <w:rFonts w:ascii="Times New Roman" w:hAnsi="Times New Roman" w:cs="Times New Roman"/>
          <w:sz w:val="28"/>
          <w:szCs w:val="28"/>
        </w:rPr>
        <w:t>антимонопольного комплаенса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F69F0B" w14:textId="28C82B19" w:rsidR="00E54383" w:rsidRPr="00687048" w:rsidRDefault="00E54383" w:rsidP="006870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048">
        <w:rPr>
          <w:rFonts w:ascii="Times New Roman" w:hAnsi="Times New Roman" w:cs="Times New Roman"/>
          <w:sz w:val="28"/>
          <w:szCs w:val="28"/>
        </w:rPr>
        <w:t>Общественным советом работа по функционировани</w:t>
      </w:r>
      <w:r w:rsidR="003D1413" w:rsidRPr="00687048">
        <w:rPr>
          <w:rFonts w:ascii="Times New Roman" w:hAnsi="Times New Roman" w:cs="Times New Roman"/>
          <w:sz w:val="28"/>
          <w:szCs w:val="28"/>
        </w:rPr>
        <w:t>ю</w:t>
      </w:r>
      <w:r w:rsidRPr="00687048">
        <w:rPr>
          <w:rFonts w:ascii="Times New Roman" w:hAnsi="Times New Roman" w:cs="Times New Roman"/>
          <w:sz w:val="28"/>
          <w:szCs w:val="28"/>
        </w:rPr>
        <w:t xml:space="preserve"> в </w:t>
      </w:r>
      <w:r w:rsidR="003D1413" w:rsidRPr="00687048"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bookmarkStart w:id="7" w:name="_Hlk127195416"/>
      <w:r w:rsidRPr="00687048">
        <w:rPr>
          <w:rFonts w:ascii="Times New Roman" w:hAnsi="Times New Roman" w:cs="Times New Roman"/>
          <w:sz w:val="28"/>
          <w:szCs w:val="28"/>
        </w:rPr>
        <w:t xml:space="preserve">антимонопольного комплаенса </w:t>
      </w:r>
      <w:bookmarkEnd w:id="7"/>
      <w:r w:rsidRPr="00687048">
        <w:rPr>
          <w:rFonts w:ascii="Times New Roman" w:hAnsi="Times New Roman" w:cs="Times New Roman"/>
          <w:sz w:val="28"/>
          <w:szCs w:val="28"/>
        </w:rPr>
        <w:t xml:space="preserve">была признана удовлетворительной. </w:t>
      </w:r>
    </w:p>
    <w:sectPr w:rsidR="00E54383" w:rsidRPr="00687048" w:rsidSect="002A6CF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D928D" w14:textId="77777777" w:rsidR="003D0BC7" w:rsidRDefault="003D0BC7" w:rsidP="00A75DC7">
      <w:pPr>
        <w:spacing w:after="0" w:line="240" w:lineRule="auto"/>
      </w:pPr>
      <w:r>
        <w:separator/>
      </w:r>
    </w:p>
  </w:endnote>
  <w:endnote w:type="continuationSeparator" w:id="0">
    <w:p w14:paraId="6C16AD53" w14:textId="77777777" w:rsidR="003D0BC7" w:rsidRDefault="003D0BC7" w:rsidP="00A75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47A34" w14:textId="77777777" w:rsidR="003D0BC7" w:rsidRDefault="003D0BC7" w:rsidP="00A75DC7">
      <w:pPr>
        <w:spacing w:after="0" w:line="240" w:lineRule="auto"/>
      </w:pPr>
      <w:r>
        <w:separator/>
      </w:r>
    </w:p>
  </w:footnote>
  <w:footnote w:type="continuationSeparator" w:id="0">
    <w:p w14:paraId="6351DC59" w14:textId="77777777" w:rsidR="003D0BC7" w:rsidRDefault="003D0BC7" w:rsidP="00A75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A0DAA"/>
    <w:multiLevelType w:val="hybridMultilevel"/>
    <w:tmpl w:val="B6A443A4"/>
    <w:lvl w:ilvl="0" w:tplc="78303F1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2EC56AFE"/>
    <w:multiLevelType w:val="hybridMultilevel"/>
    <w:tmpl w:val="BC6CEFEA"/>
    <w:lvl w:ilvl="0" w:tplc="AEC2EA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9827572">
    <w:abstractNumId w:val="0"/>
  </w:num>
  <w:num w:numId="2" w16cid:durableId="1023901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EE"/>
    <w:rsid w:val="00001908"/>
    <w:rsid w:val="00002C4B"/>
    <w:rsid w:val="00010881"/>
    <w:rsid w:val="000175B8"/>
    <w:rsid w:val="00037A79"/>
    <w:rsid w:val="000460E7"/>
    <w:rsid w:val="00054660"/>
    <w:rsid w:val="0007227F"/>
    <w:rsid w:val="0009247A"/>
    <w:rsid w:val="00092594"/>
    <w:rsid w:val="000A557E"/>
    <w:rsid w:val="000A69F5"/>
    <w:rsid w:val="000A6E93"/>
    <w:rsid w:val="000B07CC"/>
    <w:rsid w:val="000E0C4E"/>
    <w:rsid w:val="00104D52"/>
    <w:rsid w:val="0011174D"/>
    <w:rsid w:val="0011523C"/>
    <w:rsid w:val="00116956"/>
    <w:rsid w:val="00132CBF"/>
    <w:rsid w:val="001341B3"/>
    <w:rsid w:val="00134947"/>
    <w:rsid w:val="00146374"/>
    <w:rsid w:val="00151AC9"/>
    <w:rsid w:val="00152863"/>
    <w:rsid w:val="00194350"/>
    <w:rsid w:val="001B355B"/>
    <w:rsid w:val="001C579E"/>
    <w:rsid w:val="001E647D"/>
    <w:rsid w:val="001E6FBB"/>
    <w:rsid w:val="00216F0A"/>
    <w:rsid w:val="00217D1D"/>
    <w:rsid w:val="002227D3"/>
    <w:rsid w:val="00240752"/>
    <w:rsid w:val="0024272E"/>
    <w:rsid w:val="002635EB"/>
    <w:rsid w:val="00263950"/>
    <w:rsid w:val="00274D10"/>
    <w:rsid w:val="00285967"/>
    <w:rsid w:val="002A0CAF"/>
    <w:rsid w:val="002A3A56"/>
    <w:rsid w:val="002A6764"/>
    <w:rsid w:val="002A6CF0"/>
    <w:rsid w:val="002B0209"/>
    <w:rsid w:val="002B2277"/>
    <w:rsid w:val="002B386B"/>
    <w:rsid w:val="002B61CB"/>
    <w:rsid w:val="002C79A7"/>
    <w:rsid w:val="002D507C"/>
    <w:rsid w:val="002D6F35"/>
    <w:rsid w:val="003000A1"/>
    <w:rsid w:val="00303E1D"/>
    <w:rsid w:val="003042D3"/>
    <w:rsid w:val="003236F2"/>
    <w:rsid w:val="003316F0"/>
    <w:rsid w:val="0035701A"/>
    <w:rsid w:val="003741A0"/>
    <w:rsid w:val="00382E92"/>
    <w:rsid w:val="00390290"/>
    <w:rsid w:val="00394BD9"/>
    <w:rsid w:val="003B04C9"/>
    <w:rsid w:val="003C1F10"/>
    <w:rsid w:val="003C3661"/>
    <w:rsid w:val="003D0BC7"/>
    <w:rsid w:val="003D0FF6"/>
    <w:rsid w:val="003D1413"/>
    <w:rsid w:val="003D1D95"/>
    <w:rsid w:val="003E4FAB"/>
    <w:rsid w:val="003F2CA3"/>
    <w:rsid w:val="003F3FEA"/>
    <w:rsid w:val="00432FF8"/>
    <w:rsid w:val="00441C44"/>
    <w:rsid w:val="004424A4"/>
    <w:rsid w:val="00445F3D"/>
    <w:rsid w:val="00460AB1"/>
    <w:rsid w:val="00462C75"/>
    <w:rsid w:val="00473E78"/>
    <w:rsid w:val="00476721"/>
    <w:rsid w:val="00484F90"/>
    <w:rsid w:val="00492991"/>
    <w:rsid w:val="004936DA"/>
    <w:rsid w:val="004963D8"/>
    <w:rsid w:val="004B0582"/>
    <w:rsid w:val="004C74F9"/>
    <w:rsid w:val="004E233C"/>
    <w:rsid w:val="00510526"/>
    <w:rsid w:val="00511E5A"/>
    <w:rsid w:val="005148AF"/>
    <w:rsid w:val="00520DBE"/>
    <w:rsid w:val="00527367"/>
    <w:rsid w:val="00564C47"/>
    <w:rsid w:val="0057093C"/>
    <w:rsid w:val="00585EFA"/>
    <w:rsid w:val="005878D4"/>
    <w:rsid w:val="0059027B"/>
    <w:rsid w:val="00594E21"/>
    <w:rsid w:val="00595EAF"/>
    <w:rsid w:val="005A673C"/>
    <w:rsid w:val="005C2B69"/>
    <w:rsid w:val="005D370E"/>
    <w:rsid w:val="005D4D02"/>
    <w:rsid w:val="00605E29"/>
    <w:rsid w:val="006151B9"/>
    <w:rsid w:val="00620C1E"/>
    <w:rsid w:val="00633DBF"/>
    <w:rsid w:val="00637A99"/>
    <w:rsid w:val="00655957"/>
    <w:rsid w:val="00655CCF"/>
    <w:rsid w:val="00673227"/>
    <w:rsid w:val="00687048"/>
    <w:rsid w:val="006919BE"/>
    <w:rsid w:val="00691F4D"/>
    <w:rsid w:val="00693AA0"/>
    <w:rsid w:val="006E1740"/>
    <w:rsid w:val="006E72C4"/>
    <w:rsid w:val="006F18B4"/>
    <w:rsid w:val="0071424F"/>
    <w:rsid w:val="007722A6"/>
    <w:rsid w:val="00772FE1"/>
    <w:rsid w:val="007736F8"/>
    <w:rsid w:val="007905E2"/>
    <w:rsid w:val="00794AC7"/>
    <w:rsid w:val="00794BB1"/>
    <w:rsid w:val="007A1A64"/>
    <w:rsid w:val="007A4C28"/>
    <w:rsid w:val="007B2B10"/>
    <w:rsid w:val="007B3E11"/>
    <w:rsid w:val="007B5C3B"/>
    <w:rsid w:val="007B74ED"/>
    <w:rsid w:val="007D1776"/>
    <w:rsid w:val="007E1938"/>
    <w:rsid w:val="007F7D7F"/>
    <w:rsid w:val="0082231B"/>
    <w:rsid w:val="00853FCC"/>
    <w:rsid w:val="00860000"/>
    <w:rsid w:val="008749E0"/>
    <w:rsid w:val="008F7916"/>
    <w:rsid w:val="00912A22"/>
    <w:rsid w:val="0092539D"/>
    <w:rsid w:val="00925BF8"/>
    <w:rsid w:val="00951557"/>
    <w:rsid w:val="009619E2"/>
    <w:rsid w:val="009A2CDF"/>
    <w:rsid w:val="009C6B72"/>
    <w:rsid w:val="009D035A"/>
    <w:rsid w:val="009D4538"/>
    <w:rsid w:val="00A04E51"/>
    <w:rsid w:val="00A0536F"/>
    <w:rsid w:val="00A07F6F"/>
    <w:rsid w:val="00A1353D"/>
    <w:rsid w:val="00A25198"/>
    <w:rsid w:val="00A53F2F"/>
    <w:rsid w:val="00A54935"/>
    <w:rsid w:val="00A65075"/>
    <w:rsid w:val="00A75DC7"/>
    <w:rsid w:val="00AA5DED"/>
    <w:rsid w:val="00AB73D2"/>
    <w:rsid w:val="00AD2E38"/>
    <w:rsid w:val="00AD5D59"/>
    <w:rsid w:val="00AD7212"/>
    <w:rsid w:val="00B14BCC"/>
    <w:rsid w:val="00B23A5C"/>
    <w:rsid w:val="00B23DB0"/>
    <w:rsid w:val="00B3455F"/>
    <w:rsid w:val="00B43ABF"/>
    <w:rsid w:val="00B51F91"/>
    <w:rsid w:val="00B57C41"/>
    <w:rsid w:val="00B75FFE"/>
    <w:rsid w:val="00B84174"/>
    <w:rsid w:val="00B92AEE"/>
    <w:rsid w:val="00B9681C"/>
    <w:rsid w:val="00B96EC5"/>
    <w:rsid w:val="00BD74DD"/>
    <w:rsid w:val="00BE1493"/>
    <w:rsid w:val="00BE732F"/>
    <w:rsid w:val="00BF2CF9"/>
    <w:rsid w:val="00C13E23"/>
    <w:rsid w:val="00C15075"/>
    <w:rsid w:val="00C32F49"/>
    <w:rsid w:val="00C54A86"/>
    <w:rsid w:val="00C63DF1"/>
    <w:rsid w:val="00C70511"/>
    <w:rsid w:val="00C715F3"/>
    <w:rsid w:val="00C71CB9"/>
    <w:rsid w:val="00C72702"/>
    <w:rsid w:val="00C90B34"/>
    <w:rsid w:val="00CA05AC"/>
    <w:rsid w:val="00CA107F"/>
    <w:rsid w:val="00CA20A5"/>
    <w:rsid w:val="00CA2544"/>
    <w:rsid w:val="00CB1277"/>
    <w:rsid w:val="00CB2F40"/>
    <w:rsid w:val="00CB5995"/>
    <w:rsid w:val="00CB6131"/>
    <w:rsid w:val="00CE2C57"/>
    <w:rsid w:val="00CF436B"/>
    <w:rsid w:val="00CF55C5"/>
    <w:rsid w:val="00D00CF2"/>
    <w:rsid w:val="00D04063"/>
    <w:rsid w:val="00D123A0"/>
    <w:rsid w:val="00D27FA5"/>
    <w:rsid w:val="00D3598D"/>
    <w:rsid w:val="00D82607"/>
    <w:rsid w:val="00D8430D"/>
    <w:rsid w:val="00D943D6"/>
    <w:rsid w:val="00DA1AD6"/>
    <w:rsid w:val="00DA468E"/>
    <w:rsid w:val="00DC242B"/>
    <w:rsid w:val="00DE6EB1"/>
    <w:rsid w:val="00DF7F1D"/>
    <w:rsid w:val="00E15ABB"/>
    <w:rsid w:val="00E27652"/>
    <w:rsid w:val="00E31469"/>
    <w:rsid w:val="00E3359E"/>
    <w:rsid w:val="00E37FCB"/>
    <w:rsid w:val="00E45044"/>
    <w:rsid w:val="00E54383"/>
    <w:rsid w:val="00E632CD"/>
    <w:rsid w:val="00E87BAA"/>
    <w:rsid w:val="00E95EFF"/>
    <w:rsid w:val="00EE2884"/>
    <w:rsid w:val="00EF468A"/>
    <w:rsid w:val="00F01327"/>
    <w:rsid w:val="00F04319"/>
    <w:rsid w:val="00F175AF"/>
    <w:rsid w:val="00F30CBC"/>
    <w:rsid w:val="00F31BCB"/>
    <w:rsid w:val="00F339BE"/>
    <w:rsid w:val="00F438C6"/>
    <w:rsid w:val="00F444AE"/>
    <w:rsid w:val="00F52FF9"/>
    <w:rsid w:val="00F54776"/>
    <w:rsid w:val="00F56DBE"/>
    <w:rsid w:val="00F61F6A"/>
    <w:rsid w:val="00F65941"/>
    <w:rsid w:val="00F8103F"/>
    <w:rsid w:val="00FA4508"/>
    <w:rsid w:val="00FB0715"/>
    <w:rsid w:val="00FB3B43"/>
    <w:rsid w:val="00FB439C"/>
    <w:rsid w:val="00FB6E97"/>
    <w:rsid w:val="00FE79CC"/>
    <w:rsid w:val="00FF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9C80"/>
  <w15:docId w15:val="{88455B29-3128-4662-9E62-997990A3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177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9259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25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75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5DC7"/>
  </w:style>
  <w:style w:type="paragraph" w:styleId="a9">
    <w:name w:val="footer"/>
    <w:basedOn w:val="a"/>
    <w:link w:val="aa"/>
    <w:uiPriority w:val="99"/>
    <w:unhideWhenUsed/>
    <w:rsid w:val="00A75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5DC7"/>
  </w:style>
  <w:style w:type="paragraph" w:styleId="ab">
    <w:name w:val="List Paragraph"/>
    <w:basedOn w:val="a"/>
    <w:uiPriority w:val="34"/>
    <w:qFormat/>
    <w:rsid w:val="00794BB1"/>
    <w:pPr>
      <w:ind w:left="720"/>
      <w:contextualSpacing/>
    </w:pPr>
  </w:style>
  <w:style w:type="paragraph" w:customStyle="1" w:styleId="nospacing">
    <w:name w:val="nospacing"/>
    <w:basedOn w:val="a"/>
    <w:rsid w:val="0005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Unresolved Mention"/>
    <w:basedOn w:val="a0"/>
    <w:uiPriority w:val="99"/>
    <w:semiHidden/>
    <w:unhideWhenUsed/>
    <w:rsid w:val="00CB6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2055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Истомина Ирина Витальевна</cp:lastModifiedBy>
  <cp:revision>7</cp:revision>
  <cp:lastPrinted>2021-02-16T06:33:00Z</cp:lastPrinted>
  <dcterms:created xsi:type="dcterms:W3CDTF">2026-01-20T06:24:00Z</dcterms:created>
  <dcterms:modified xsi:type="dcterms:W3CDTF">2026-01-30T06:15:00Z</dcterms:modified>
</cp:coreProperties>
</file>